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E48" w:rsidRDefault="009A7ED6">
      <w:pPr>
        <w:spacing w:after="9" w:line="259" w:lineRule="auto"/>
        <w:ind w:left="0" w:right="-5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59881" cy="827329"/>
                <wp:effectExtent l="0" t="0" r="0" b="0"/>
                <wp:docPr id="56980" name="Group 56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1" cy="827329"/>
                          <a:chOff x="0" y="0"/>
                          <a:chExt cx="6659881" cy="827329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871980" y="42654"/>
                            <a:ext cx="3964926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252F3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>T-Rex GOLD Power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4852924" y="42654"/>
                            <a:ext cx="75131" cy="25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1871980" y="301849"/>
                            <a:ext cx="54078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Karta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278583" y="301849"/>
                            <a:ext cx="148735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>Bezpečnostných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396894" y="301849"/>
                            <a:ext cx="68732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Údajov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913683" y="301849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468755" y="582978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871980" y="499958"/>
                            <a:ext cx="297484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podľa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095652" y="499958"/>
                            <a:ext cx="1334068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nariadenia REACH (ES)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098622" y="499958"/>
                            <a:ext cx="91989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č.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167787" y="499958"/>
                            <a:ext cx="2925183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1907/2006 zmeneného a doplneného nariadením (EÚ)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5367173" y="499958"/>
                            <a:ext cx="91989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č.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436337" y="499958"/>
                            <a:ext cx="526037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2020/878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831853" y="499958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871980" y="602180"/>
                            <a:ext cx="5586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Odvolacie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292033" y="602180"/>
                            <a:ext cx="275965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číslo: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499525" y="602180"/>
                            <a:ext cx="361569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57120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771381" y="602180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71980" y="704403"/>
                            <a:ext cx="5264739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>Dátum vydania: 10.2.2016   Dátum spracovania: 1.9.2021   Nahrádza verziu: 12.4.2021   Znenie: 2.0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830431" y="704403"/>
                            <a:ext cx="32870" cy="111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D2E48" w:rsidRDefault="009A7ED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Shape 28"/>
                        <wps:cNvSpPr/>
                        <wps:spPr>
                          <a:xfrm>
                            <a:off x="0" y="827329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010" cy="6477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56980" o:spid="_x0000_s1026" style="width:524.4pt;height:65.15pt;mso-position-horizontal-relative:char;mso-position-vertical-relative:line" coordsize="66598,827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">
                <v:rect id="Rectangle 6" o:spid="_x0000_s1027" style="position:absolute;left:18719;top:426;width:39650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ED2E48" w:rsidRDefault="00252F3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32"/>
                          </w:rPr>
                          <w:t>T-Rex GOLD Power</w:t>
                        </w:r>
                      </w:p>
                    </w:txbxContent>
                  </v:textbox>
                </v:rect>
                <v:rect id="Rectangle 7" o:spid="_x0000_s1028" style="position:absolute;left:48529;top:426;width:751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left:18719;top:3018;width:5408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Karta </w:t>
                        </w:r>
                      </w:p>
                    </w:txbxContent>
                  </v:textbox>
                </v:rect>
                <v:rect id="Rectangle 9" o:spid="_x0000_s1030" style="position:absolute;left:22785;top:3018;width:1487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>Bezpečnostných</w:t>
                        </w:r>
                      </w:p>
                    </w:txbxContent>
                  </v:textbox>
                </v:rect>
                <v:rect id="Rectangle 10" o:spid="_x0000_s1031" style="position:absolute;left:33968;top:3018;width:687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Údajov</w:t>
                        </w:r>
                      </w:p>
                    </w:txbxContent>
                  </v:textbox>
                </v:rect>
                <v:rect id="Rectangle 11" o:spid="_x0000_s1032" style="position:absolute;left:39136;top:3018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left:14687;top:5829;width:3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4" style="position:absolute;left:18719;top:4999;width:2975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>podľa</w:t>
                        </w:r>
                      </w:p>
                    </w:txbxContent>
                  </v:textbox>
                </v:rect>
                <v:rect id="Rectangle 14" o:spid="_x0000_s1035" style="position:absolute;left:20956;top:4999;width:13341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nariadenia REACH (ES) </w:t>
                        </w:r>
                      </w:p>
                    </w:txbxContent>
                  </v:textbox>
                </v:rect>
                <v:rect id="Rectangle 15" o:spid="_x0000_s1036" style="position:absolute;left:30986;top:4999;width:92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>č.</w:t>
                        </w:r>
                      </w:p>
                    </w:txbxContent>
                  </v:textbox>
                </v:rect>
                <v:rect id="Rectangle 16" o:spid="_x0000_s1037" style="position:absolute;left:31677;top:4999;width:2925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1907/2006 zmeneného a doplneného nariadením (EÚ) </w:t>
                        </w:r>
                      </w:p>
                    </w:txbxContent>
                  </v:textbox>
                </v:rect>
                <v:rect id="Rectangle 17" o:spid="_x0000_s1038" style="position:absolute;left:53671;top:4999;width:92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>č.</w:t>
                        </w:r>
                      </w:p>
                    </w:txbxContent>
                  </v:textbox>
                </v:rect>
                <v:rect id="Rectangle 18" o:spid="_x0000_s1039" style="position:absolute;left:54363;top:4999;width:5260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2020/878</w:t>
                        </w:r>
                      </w:p>
                    </w:txbxContent>
                  </v:textbox>
                </v:rect>
                <v:rect id="Rectangle 19" o:spid="_x0000_s1040" style="position:absolute;left:58318;top:4999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1" style="position:absolute;left:18719;top:6021;width:5587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Odvolacie </w:t>
                        </w:r>
                      </w:p>
                    </w:txbxContent>
                  </v:textbox>
                </v:rect>
                <v:rect id="Rectangle 21" o:spid="_x0000_s1042" style="position:absolute;left:22920;top:6021;width:275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>číslo:</w:t>
                        </w:r>
                      </w:p>
                    </w:txbxContent>
                  </v:textbox>
                </v:rect>
                <v:rect id="Rectangle 22" o:spid="_x0000_s1043" style="position:absolute;left:24995;top:6021;width:3615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57120</w:t>
                        </w:r>
                      </w:p>
                    </w:txbxContent>
                  </v:textbox>
                </v:rect>
                <v:rect id="Rectangle 23" o:spid="_x0000_s1044" style="position:absolute;left:27713;top:6021;width:329;height:1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45" style="position:absolute;left:18719;top:7044;width:52648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>Dátum vydania: 10.2.2016   Dátum spracovania: 1.9.2021   Nahrádza verziu: 12.4.2021   Znenie: 2.0</w:t>
                        </w:r>
                      </w:p>
                    </w:txbxContent>
                  </v:textbox>
                </v:rect>
                <v:rect id="Rectangle 25" o:spid="_x0000_s1046" style="position:absolute;left:58304;top:7044;width:32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ED2E48" w:rsidRDefault="009A7ED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" o:spid="_x0000_s1047" style="position:absolute;top:8273;width:66598;height:0;visibility:visible;mso-wrap-style:square;v-text-anchor:top" coordsize="66598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" path="m,l6659881,e" filled="f" strokeweight=".5pt">
                  <v:stroke miterlimit="83231f" joinstyle="miter"/>
                  <v:path arrowok="t" textboxrect="0,0,6659881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0" o:spid="_x0000_s1048" type="#_x0000_t75" style="position:absolute;width:14690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">
                  <v:imagedata r:id="rId7" o:title=""/>
                </v:shape>
                <w10:anchorlock/>
              </v:group>
            </w:pict>
          </mc:Fallback>
        </mc:AlternateContent>
      </w:r>
    </w:p>
    <w:p w:rsidR="00ED2E48" w:rsidRDefault="009A7ED6">
      <w:pPr>
        <w:spacing w:after="707" w:line="259" w:lineRule="auto"/>
        <w:ind w:left="0" w:firstLine="0"/>
      </w:pPr>
      <w:r>
        <w:rPr>
          <w:sz w:val="2"/>
        </w:rPr>
        <w:t xml:space="preserve"> </w:t>
      </w:r>
      <w:r>
        <w:rPr>
          <w:sz w:val="2"/>
        </w:rPr>
        <w:tab/>
        <w:t xml:space="preserve"> </w:t>
      </w:r>
    </w:p>
    <w:p w:rsidR="00ED2E48" w:rsidRDefault="009A7ED6">
      <w:pPr>
        <w:pStyle w:val="Nadpis1"/>
        <w:ind w:left="23"/>
      </w:pPr>
      <w:r>
        <w:t xml:space="preserve">ODDIEL </w:t>
      </w:r>
      <w:r>
        <w:rPr>
          <w:vertAlign w:val="superscript"/>
        </w:rPr>
        <w:footnoteReference w:id="1"/>
      </w:r>
      <w:r>
        <w:t xml:space="preserve">: Identifikácia látky/zmesi a </w:t>
      </w:r>
      <w:r>
        <w:t>spoločnosti/podniku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>1.1. Identifikátor produktu</w:t>
      </w:r>
      <w:r>
        <w:rPr>
          <w:color w:val="000000"/>
        </w:rPr>
        <w:t xml:space="preserve"> </w:t>
      </w:r>
    </w:p>
    <w:p w:rsidR="00ED2E48" w:rsidRDefault="009A7ED6">
      <w:pPr>
        <w:tabs>
          <w:tab w:val="center" w:pos="4086"/>
        </w:tabs>
        <w:ind w:left="-15" w:firstLine="0"/>
      </w:pPr>
      <w:r>
        <w:t>Forma produktu</w:t>
      </w:r>
      <w:r>
        <w:t xml:space="preserve"> </w:t>
      </w:r>
      <w:r>
        <w:tab/>
      </w:r>
      <w:r>
        <w:t>:</w:t>
      </w:r>
      <w:r>
        <w:t xml:space="preserve"> </w:t>
      </w:r>
      <w:r>
        <w:t>Zmes</w:t>
      </w:r>
      <w:r>
        <w:t xml:space="preserve"> </w:t>
      </w:r>
    </w:p>
    <w:p w:rsidR="00ED2E48" w:rsidRDefault="009A7ED6">
      <w:pPr>
        <w:tabs>
          <w:tab w:val="center" w:pos="4998"/>
        </w:tabs>
        <w:spacing w:after="207"/>
        <w:ind w:left="-15" w:firstLine="0"/>
      </w:pPr>
      <w:r>
        <w:t>Obchodné meno</w:t>
      </w:r>
      <w:r w:rsidR="00252F39">
        <w:t xml:space="preserve">                                                            :</w:t>
      </w:r>
      <w:r>
        <w:t xml:space="preserve"> </w:t>
      </w:r>
      <w:r w:rsidR="00252F39">
        <w:t>T-Rex GOLD Power</w:t>
      </w:r>
    </w:p>
    <w:p w:rsidR="00ED2E48" w:rsidRDefault="009A7ED6">
      <w:pPr>
        <w:pStyle w:val="Nadpis2"/>
        <w:ind w:left="23"/>
      </w:pPr>
      <w:r>
        <w:t xml:space="preserve">1.2. Relevantné identifikované použitia látky alebo zmesi a použitia, ktoré sa </w:t>
      </w:r>
      <w:r>
        <w:t>neodporúčajú</w:t>
      </w:r>
      <w:r>
        <w:rPr>
          <w:color w:val="000000"/>
        </w:rP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1.2.1. Relevantné identifikované použitia</w:t>
      </w:r>
      <w:r>
        <w:rPr>
          <w:b/>
        </w:rPr>
        <w:t xml:space="preserve"> </w:t>
      </w:r>
    </w:p>
    <w:p w:rsidR="00ED2E48" w:rsidRDefault="009A7ED6">
      <w:pPr>
        <w:spacing w:after="138"/>
        <w:ind w:left="-5" w:right="2614"/>
      </w:pPr>
      <w:r>
        <w:t>Hlavná kategória použitia</w:t>
      </w:r>
      <w:r>
        <w:t xml:space="preserve"> </w:t>
      </w:r>
      <w:r>
        <w:t>:</w:t>
      </w:r>
      <w:r>
        <w:t xml:space="preserve"> </w:t>
      </w:r>
      <w:r>
        <w:t>Spotrebiteľské</w:t>
      </w:r>
      <w:r>
        <w:t xml:space="preserve"> použitie,Profesionálne použitie</w:t>
      </w:r>
      <w:r>
        <w:t xml:space="preserve"> </w:t>
      </w:r>
      <w:r>
        <w:t>Použitie látky/zmesi</w:t>
      </w:r>
      <w:r>
        <w:t xml:space="preserve"> </w:t>
      </w:r>
      <w:r>
        <w:tab/>
      </w:r>
      <w:r>
        <w:t>:</w:t>
      </w:r>
      <w:r>
        <w:t xml:space="preserve"> </w:t>
      </w:r>
      <w:r>
        <w:t>spojivá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1.</w:t>
      </w:r>
      <w:r>
        <w:rPr>
          <w:b/>
          <w:color w:val="0070C0"/>
        </w:rPr>
        <w:t>2.2. Použitia, ktoré sa neodporúčajú</w:t>
      </w:r>
      <w:r>
        <w:rPr>
          <w:b/>
        </w:rPr>
        <w:t xml:space="preserve"> </w:t>
      </w:r>
    </w:p>
    <w:p w:rsidR="00ED2E48" w:rsidRDefault="009A7ED6">
      <w:pPr>
        <w:spacing w:after="202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pStyle w:val="Nadpis2"/>
        <w:ind w:left="23"/>
      </w:pPr>
      <w:r>
        <w:t xml:space="preserve">1.3. Údaje o </w:t>
      </w:r>
      <w:r>
        <w:t>dodávateľovi</w:t>
      </w:r>
      <w:r>
        <w:t xml:space="preserve"> karty </w:t>
      </w:r>
      <w:r>
        <w:t>bezpečnostných</w:t>
      </w:r>
      <w:r>
        <w:t xml:space="preserve"> údajov</w:t>
      </w:r>
      <w:r>
        <w:rPr>
          <w:color w:val="000000"/>
        </w:rPr>
        <w:t xml:space="preserve"> </w:t>
      </w:r>
    </w:p>
    <w:p w:rsidR="00252F39" w:rsidRDefault="00252F39" w:rsidP="00252F39">
      <w:pPr>
        <w:spacing w:after="18"/>
        <w:ind w:left="-5"/>
      </w:pPr>
      <w:r>
        <w:t>Snail s.r.o.</w:t>
      </w:r>
    </w:p>
    <w:p w:rsidR="00252F39" w:rsidRDefault="00252F39" w:rsidP="00252F39">
      <w:pPr>
        <w:spacing w:after="18"/>
        <w:ind w:left="-5"/>
      </w:pPr>
      <w:r>
        <w:t>Rastislavova 14</w:t>
      </w:r>
    </w:p>
    <w:p w:rsidR="00252F39" w:rsidRDefault="00252F39" w:rsidP="00252F39">
      <w:pPr>
        <w:spacing w:after="18"/>
        <w:ind w:left="-5"/>
      </w:pPr>
      <w:r>
        <w:t>951 41</w:t>
      </w:r>
    </w:p>
    <w:p w:rsidR="00252F39" w:rsidRDefault="00252F39" w:rsidP="00252F39">
      <w:pPr>
        <w:spacing w:after="18"/>
        <w:ind w:left="-5"/>
      </w:pPr>
      <w:r>
        <w:t>Slovenská republika</w:t>
      </w:r>
    </w:p>
    <w:p w:rsidR="00252F39" w:rsidRDefault="00252F39" w:rsidP="00252F39">
      <w:pPr>
        <w:spacing w:after="184" w:line="288" w:lineRule="auto"/>
        <w:ind w:left="0" w:right="6504" w:firstLine="0"/>
      </w:pPr>
      <w:r>
        <w:t>Tel.: 037 6555 841</w:t>
      </w:r>
    </w:p>
    <w:p w:rsidR="00252F39" w:rsidRDefault="00252F39" w:rsidP="00252F39">
      <w:pPr>
        <w:spacing w:after="184" w:line="288" w:lineRule="auto"/>
        <w:ind w:left="0" w:right="6504" w:firstLine="0"/>
      </w:pPr>
      <w:hyperlink r:id="rId8" w:history="1">
        <w:r w:rsidRPr="00E50C89">
          <w:rPr>
            <w:rStyle w:val="Hypertextovprepojenie"/>
          </w:rPr>
          <w:t>p.molnar@soudal.sk</w:t>
        </w:r>
      </w:hyperlink>
      <w:r>
        <w:t xml:space="preserve"> – </w:t>
      </w:r>
      <w:hyperlink r:id="rId9" w:history="1">
        <w:r w:rsidRPr="00E50C89">
          <w:rPr>
            <w:rStyle w:val="Hypertextovprepojenie"/>
          </w:rPr>
          <w:t>www.soudal.sk</w:t>
        </w:r>
      </w:hyperlink>
    </w:p>
    <w:p w:rsidR="00ED2E48" w:rsidRDefault="009A7ED6" w:rsidP="00252F39">
      <w:pPr>
        <w:pStyle w:val="Nadpis2"/>
        <w:ind w:left="0" w:firstLine="0"/>
      </w:pPr>
      <w:r>
        <w:t>1</w:t>
      </w:r>
      <w:r w:rsidR="00252F39">
        <w:t xml:space="preserve"> </w:t>
      </w:r>
      <w:r>
        <w:t xml:space="preserve">.4. Núdzové telefónne </w:t>
      </w:r>
      <w:r>
        <w:t>číslo</w:t>
      </w:r>
      <w:r>
        <w:rPr>
          <w:color w:val="000000"/>
        </w:rPr>
        <w:t xml:space="preserve"> </w:t>
      </w:r>
    </w:p>
    <w:p w:rsidR="00ED2E48" w:rsidRDefault="009A7ED6">
      <w:pPr>
        <w:tabs>
          <w:tab w:val="center" w:pos="4681"/>
        </w:tabs>
        <w:ind w:left="-15" w:firstLine="0"/>
      </w:pPr>
      <w:r>
        <w:t>Číslo</w:t>
      </w:r>
      <w:r>
        <w:t xml:space="preserve"> pohotovosti</w:t>
      </w:r>
      <w:r>
        <w:t xml:space="preserve"> </w:t>
      </w:r>
      <w:r>
        <w:tab/>
      </w:r>
      <w:r>
        <w:t>:</w:t>
      </w:r>
      <w:r>
        <w:t xml:space="preserve"> </w:t>
      </w:r>
      <w:r>
        <w:t>+32 14 58 45 45 (BIG)</w:t>
      </w:r>
      <w:r>
        <w:t xml:space="preserve"> </w:t>
      </w:r>
    </w:p>
    <w:p w:rsidR="00ED2E48" w:rsidRDefault="009A7ED6">
      <w:pPr>
        <w:ind w:left="3979"/>
      </w:pPr>
      <w:r>
        <w:t>24h/24h</w:t>
      </w:r>
      <w:r>
        <w:t xml:space="preserve"> </w:t>
      </w:r>
    </w:p>
    <w:p w:rsidR="00ED2E48" w:rsidRDefault="009A7ED6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486" w:type="dxa"/>
        <w:tblInd w:w="6" w:type="dxa"/>
        <w:tblCellMar>
          <w:top w:w="97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16"/>
        <w:gridCol w:w="3118"/>
        <w:gridCol w:w="2268"/>
        <w:gridCol w:w="1984"/>
        <w:gridCol w:w="1700"/>
      </w:tblGrid>
      <w:tr w:rsidR="00ED2E48">
        <w:trPr>
          <w:trHeight w:val="370"/>
        </w:trPr>
        <w:tc>
          <w:tcPr>
            <w:tcW w:w="141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Krajina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  <w:sz w:val="18"/>
              </w:rPr>
              <w:t>Organizácia/Spoločnosť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  <w:sz w:val="18"/>
              </w:rPr>
              <w:t>Adresa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  <w:sz w:val="18"/>
              </w:rPr>
              <w:t>Číslo pohotovosti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  <w:sz w:val="18"/>
              </w:rPr>
              <w:t>Komentár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1229"/>
        </w:trPr>
        <w:tc>
          <w:tcPr>
            <w:tcW w:w="141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Slovensko</w:t>
            </w:r>
            <w:r>
              <w:t xml:space="preserve"> </w:t>
            </w:r>
          </w:p>
        </w:tc>
        <w:tc>
          <w:tcPr>
            <w:tcW w:w="311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88" w:lineRule="auto"/>
              <w:ind w:left="1" w:firstLine="0"/>
            </w:pPr>
            <w:r>
              <w:t xml:space="preserve">Národné toxikologické </w:t>
            </w:r>
            <w:r>
              <w:t>informačné</w:t>
            </w:r>
            <w:r>
              <w:t xml:space="preserve"> centrum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Univerzitná nemocnica Bratislava, pracovisko Kramáre, Klinika pracovného lekárstva a toxikológie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Limbová 5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833 05 Bratislava</w:t>
            </w:r>
            <w:r>
              <w:t xml:space="preserve"> </w:t>
            </w:r>
          </w:p>
        </w:tc>
        <w:tc>
          <w:tcPr>
            <w:tcW w:w="198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+421 2 54 77 41 66</w:t>
            </w:r>
            <w:r>
              <w:t xml:space="preserve"> </w:t>
            </w:r>
          </w:p>
        </w:tc>
        <w:tc>
          <w:tcPr>
            <w:tcW w:w="170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</w:tbl>
    <w:p w:rsidR="00ED2E48" w:rsidRDefault="009A7ED6">
      <w:pPr>
        <w:pStyle w:val="Nadpis1"/>
        <w:ind w:left="23"/>
      </w:pPr>
      <w:r>
        <w:t xml:space="preserve">ODDIEL 2: Identifikácia </w:t>
      </w:r>
      <w:r>
        <w:t>nebezpečnosti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 xml:space="preserve">2.1. </w:t>
      </w:r>
      <w:r>
        <w:t>Klasifikácia látky alebo zmesi</w:t>
      </w:r>
      <w:r>
        <w:rPr>
          <w:color w:val="000000"/>
        </w:rP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klasifikácia podľa nariadenia (ES) č.1272/2008 [CLP]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>Neklasifikovaný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Nežiaduce fyzikochemikálne účinky, účinky na ľudské zdravie a životné prostredie</w:t>
      </w:r>
      <w:r>
        <w:rPr>
          <w:b/>
        </w:rPr>
        <w:t xml:space="preserve"> </w:t>
      </w:r>
    </w:p>
    <w:p w:rsidR="00ED2E48" w:rsidRDefault="009A7ED6">
      <w:pPr>
        <w:spacing w:after="202"/>
        <w:ind w:left="-5"/>
      </w:pPr>
      <w:r>
        <w:t>Na základe našich vedomostí tento produkt nepredstavuje osobitné riziko</w:t>
      </w:r>
      <w:r>
        <w:t xml:space="preserve"> pod podmienkou dodržania všeobecných pravidiel priemyselnej hygieny.</w:t>
      </w:r>
      <w:r>
        <w:t xml:space="preserve"> </w:t>
      </w:r>
    </w:p>
    <w:p w:rsidR="00ED2E48" w:rsidRDefault="009A7ED6">
      <w:pPr>
        <w:pStyle w:val="Nadpis2"/>
        <w:ind w:left="23"/>
      </w:pPr>
      <w:r>
        <w:t xml:space="preserve">2.2. Prvky </w:t>
      </w:r>
      <w:r>
        <w:t>označovania</w:t>
      </w:r>
      <w:r>
        <w:rPr>
          <w:color w:val="000000"/>
        </w:rPr>
        <w:t xml:space="preserve"> </w:t>
      </w:r>
    </w:p>
    <w:p w:rsidR="00ED2E48" w:rsidRDefault="009A7ED6">
      <w:pPr>
        <w:spacing w:after="0" w:line="259" w:lineRule="auto"/>
        <w:ind w:left="0" w:firstLine="0"/>
      </w:pPr>
      <w:r>
        <w:rPr>
          <w:b/>
          <w:color w:val="0070C0"/>
        </w:rPr>
        <w:t>Označenie podľa nariadenia (ES) č.1272/2008 [CLP]</w:t>
      </w:r>
      <w:r>
        <w:rPr>
          <w:b/>
        </w:rPr>
        <w:t xml:space="preserve"> </w:t>
      </w:r>
    </w:p>
    <w:tbl>
      <w:tblPr>
        <w:tblStyle w:val="TableGrid"/>
        <w:tblW w:w="1043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33"/>
        <w:gridCol w:w="1671"/>
        <w:gridCol w:w="6628"/>
      </w:tblGrid>
      <w:tr w:rsidR="00ED2E48">
        <w:trPr>
          <w:trHeight w:val="1501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464" w:line="259" w:lineRule="auto"/>
              <w:ind w:left="0" w:firstLine="0"/>
            </w:pPr>
            <w:r>
              <w:t>EUH vety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Dodatkové vety</w:t>
            </w:r>
            <w:r>
              <w:t xml:space="preserve">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>:</w:t>
            </w:r>
            <w:r>
              <w:t xml:space="preserve"> </w:t>
            </w:r>
            <w:r>
              <w:t xml:space="preserve">EUH210 - Na požiadanie možno </w:t>
            </w:r>
            <w:r>
              <w:t>poskytnúť</w:t>
            </w:r>
            <w:r>
              <w:t xml:space="preserve"> kartu </w:t>
            </w:r>
            <w:r>
              <w:t>bezpečnostných</w:t>
            </w:r>
            <w:r>
              <w:t xml:space="preserve"> údajov.</w:t>
            </w:r>
            <w:r>
              <w:t xml:space="preserve"> </w:t>
            </w:r>
          </w:p>
          <w:p w:rsidR="00ED2E48" w:rsidRDefault="009A7ED6">
            <w:pPr>
              <w:spacing w:after="0" w:line="288" w:lineRule="auto"/>
              <w:ind w:left="164" w:firstLine="0"/>
            </w:pPr>
            <w:r>
              <w:t>EUH212 - Poz</w:t>
            </w:r>
            <w:r>
              <w:t xml:space="preserve">or! Pri použití sa môže </w:t>
            </w:r>
            <w:r>
              <w:t>vytvárať</w:t>
            </w:r>
            <w:r>
              <w:t xml:space="preserve"> </w:t>
            </w:r>
            <w:r>
              <w:t>nebezpečný</w:t>
            </w:r>
            <w:r>
              <w:t xml:space="preserve"> respirabilný prach. Nevdychujte prach.(Okrem </w:t>
            </w:r>
            <w:r>
              <w:t>čierneho</w:t>
            </w:r>
            <w:r>
              <w:t xml:space="preserve"> / hnedého / </w:t>
            </w:r>
            <w:r>
              <w:t>priehľadného</w:t>
            </w:r>
            <w:r>
              <w:t xml:space="preserve"> produktu).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  <w:r>
              <w:t>Len na odborné použitie.</w:t>
            </w:r>
            <w:r>
              <w:t xml:space="preserve"> </w:t>
            </w:r>
          </w:p>
        </w:tc>
      </w:tr>
      <w:tr w:rsidR="00ED2E48">
        <w:trPr>
          <w:trHeight w:val="707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sz w:val="2"/>
              </w:rPr>
              <w:lastRenderedPageBreak/>
              <w:t xml:space="preserve"> 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1382" w:firstLine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right="285" w:firstLine="0"/>
              <w:jc w:val="center"/>
            </w:pPr>
            <w:r>
              <w:rPr>
                <w:sz w:val="2"/>
              </w:rPr>
              <w:t xml:space="preserve"> </w:t>
            </w:r>
          </w:p>
        </w:tc>
      </w:tr>
    </w:tbl>
    <w:p w:rsidR="00ED2E48" w:rsidRDefault="009A7ED6">
      <w:pPr>
        <w:pStyle w:val="Nadpis2"/>
        <w:shd w:val="clear" w:color="auto" w:fill="auto"/>
        <w:spacing w:after="0"/>
        <w:ind w:left="28" w:firstLine="0"/>
      </w:pPr>
      <w:r>
        <w:t xml:space="preserve">2.3. Iná </w:t>
      </w:r>
      <w:r>
        <w:t>nebezpečnosť</w:t>
      </w:r>
      <w:r>
        <w:rPr>
          <w:color w:val="000000"/>
        </w:rPr>
        <w:t xml:space="preserve"> 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3968"/>
        <w:gridCol w:w="6520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Komponent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881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trimetoxyvinylsilán (2768-02-7)</w:t>
            </w:r>
            <w: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PBT nariadenia REACH, Annex XIII.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vPvB nariadenia REACH, Annex XIII.</w:t>
            </w:r>
            <w:r>
              <w:t xml:space="preserve"> </w:t>
            </w:r>
          </w:p>
        </w:tc>
      </w:tr>
      <w:tr w:rsidR="00ED2E48">
        <w:trPr>
          <w:trHeight w:val="88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N-(3-(trimetoxysilyl)propyl)etyléndiamín (1760-24-3)</w:t>
            </w:r>
            <w: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PBT nariadenia REACH, Annex XIII.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Táto </w:t>
            </w:r>
            <w:r>
              <w:t xml:space="preserve">látka/zmes </w:t>
            </w:r>
            <w:r>
              <w:t>nespĺňa</w:t>
            </w:r>
            <w:r>
              <w:t xml:space="preserve"> kritériá vPvB nariadenia REACH, Annex XIII.</w:t>
            </w:r>
            <w:r>
              <w:t xml:space="preserve"> </w:t>
            </w:r>
          </w:p>
        </w:tc>
      </w:tr>
      <w:tr w:rsidR="00ED2E48">
        <w:trPr>
          <w:trHeight w:val="88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>bis (2,2,6,6-tetrametyl-4-piperidyl) sebakát (52829-07-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9)</w:t>
            </w:r>
            <w: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PBT nariadenia REACH, Annex XIII.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vPvB nariadenia REACH, Annex </w:t>
            </w:r>
            <w:r>
              <w:t>XIII.</w:t>
            </w:r>
            <w:r>
              <w:t xml:space="preserve"> </w:t>
            </w:r>
          </w:p>
        </w:tc>
      </w:tr>
    </w:tbl>
    <w:p w:rsidR="00ED2E48" w:rsidRDefault="009A7ED6">
      <w:pPr>
        <w:spacing w:after="22" w:line="259" w:lineRule="auto"/>
        <w:ind w:left="0" w:firstLine="0"/>
      </w:pPr>
      <w:r>
        <w:t xml:space="preserve"> </w:t>
      </w:r>
    </w:p>
    <w:p w:rsidR="00ED2E48" w:rsidRDefault="009A7ED6">
      <w:pPr>
        <w:ind w:left="-5"/>
      </w:pPr>
      <w:r>
        <w:t xml:space="preserve">Zmes neobsahuje látku(-y) zahrnutú do zoznamu, ktorý bol vypracovaný </w:t>
      </w:r>
      <w:r>
        <w:t>podľa</w:t>
      </w:r>
      <w:r>
        <w:t xml:space="preserve"> </w:t>
      </w:r>
      <w:r>
        <w:t>článku</w:t>
      </w:r>
      <w:r>
        <w:t xml:space="preserve"> </w:t>
      </w:r>
      <w:r>
        <w:t>č.</w:t>
      </w:r>
      <w:r>
        <w:t xml:space="preserve"> 59(1) smernice REACH v súlade s kritériami uvedenými v delegovanom nariadení Komisie (EÚ) </w:t>
      </w:r>
      <w:r>
        <w:t>č.</w:t>
      </w:r>
      <w:r>
        <w:t xml:space="preserve"> 2017/2100 alebo nariadení Komisie (EÚ) </w:t>
      </w:r>
      <w:r>
        <w:t>č.</w:t>
      </w:r>
      <w:r>
        <w:t xml:space="preserve"> 2018/605 preto, lebo má vl</w:t>
      </w:r>
      <w:r>
        <w:t xml:space="preserve">astnosti narúšajúce endokrinný systém alebo nie je </w:t>
      </w:r>
      <w:r>
        <w:t>označená</w:t>
      </w:r>
      <w:r>
        <w:t xml:space="preserve"> ako látka s </w:t>
      </w:r>
      <w:r>
        <w:t>vlastnosťami</w:t>
      </w:r>
      <w:r>
        <w:t xml:space="preserve"> narúšajúcimi endokrinný systém</w:t>
      </w:r>
      <w:r>
        <w:t xml:space="preserve"> </w:t>
      </w:r>
    </w:p>
    <w:p w:rsidR="00ED2E48" w:rsidRDefault="009A7ED6">
      <w:pPr>
        <w:spacing w:after="592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pStyle w:val="Nadpis1"/>
        <w:ind w:left="23"/>
      </w:pPr>
      <w:r>
        <w:t>ODDIEL 3: Zloženie/informácie o zložkách</w:t>
      </w:r>
      <w:r>
        <w:rPr>
          <w:color w:val="000000"/>
        </w:rP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3.1. Látky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>Neuplatňuje</w:t>
      </w:r>
      <w:r>
        <w:t xml:space="preserve"> sa</w:t>
      </w:r>
      <w:r>
        <w:t xml:space="preserve"> </w:t>
      </w:r>
    </w:p>
    <w:p w:rsidR="00ED2E48" w:rsidRDefault="009A7ED6">
      <w:pPr>
        <w:pStyle w:val="Nadpis2"/>
        <w:spacing w:after="0"/>
        <w:ind w:left="23"/>
      </w:pPr>
      <w:r>
        <w:t>3.2. Zmesi</w:t>
      </w:r>
      <w:r>
        <w:rPr>
          <w:color w:val="000000"/>
        </w:rPr>
        <w:t xml:space="preserve"> </w:t>
      </w:r>
    </w:p>
    <w:tbl>
      <w:tblPr>
        <w:tblStyle w:val="TableGrid"/>
        <w:tblW w:w="10486" w:type="dxa"/>
        <w:tblInd w:w="6" w:type="dxa"/>
        <w:tblCellMar>
          <w:top w:w="96" w:type="dxa"/>
          <w:left w:w="56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3967"/>
        <w:gridCol w:w="2268"/>
        <w:gridCol w:w="1134"/>
        <w:gridCol w:w="3117"/>
      </w:tblGrid>
      <w:tr w:rsidR="00ED2E48">
        <w:trPr>
          <w:trHeight w:val="618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Názov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  <w:sz w:val="18"/>
              </w:rPr>
              <w:t>Identifikátor produktu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  <w:sz w:val="18"/>
              </w:rPr>
              <w:t>%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  <w:sz w:val="18"/>
              </w:rPr>
              <w:t xml:space="preserve">klasifikácia podľa </w:t>
            </w:r>
            <w:r>
              <w:rPr>
                <w:b/>
                <w:color w:val="0070C0"/>
                <w:sz w:val="18"/>
              </w:rPr>
              <w:t>nariadenia (ES) č.1272/2008 [CLP]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1229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trimetoxyvinylsilán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č.</w:t>
            </w:r>
            <w:r>
              <w:t xml:space="preserve"> CAS: 2768-02-7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č.v</w:t>
            </w:r>
            <w:r>
              <w:t xml:space="preserve"> ES: 220-449-8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č.</w:t>
            </w:r>
            <w:r>
              <w:t xml:space="preserve"> Indexu: 014-049-00-0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REACH </w:t>
            </w:r>
            <w:r>
              <w:t>čís</w:t>
            </w:r>
            <w:r>
              <w:t>: 01-2119513215-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52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≥</w:t>
            </w:r>
            <w:r>
              <w:t xml:space="preserve"> 1 – &lt; 5</w:t>
            </w:r>
            <w:r>
              <w:t xml:space="preserve"> </w:t>
            </w:r>
          </w:p>
        </w:tc>
        <w:tc>
          <w:tcPr>
            <w:tcW w:w="311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Flam. Liq. 3, H226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Acute Tox. 4 (Inhalácia:pary), H332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Skin Sens. 1B, H317</w:t>
            </w:r>
            <w:r>
              <w:t xml:space="preserve"> </w:t>
            </w:r>
          </w:p>
        </w:tc>
      </w:tr>
      <w:tr w:rsidR="00ED2E48">
        <w:trPr>
          <w:trHeight w:val="100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N-(3-(trimetoxysilyl)propyl)etyléndiamín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č.</w:t>
            </w:r>
            <w:r>
              <w:t xml:space="preserve"> CAS: 1760-24-3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č.v</w:t>
            </w:r>
            <w:r>
              <w:t xml:space="preserve"> ES: 217-164-6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REACH </w:t>
            </w:r>
            <w:r>
              <w:t>čís</w:t>
            </w:r>
            <w:r>
              <w:t>: 01-2119970215-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39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≥</w:t>
            </w:r>
            <w:r>
              <w:t xml:space="preserve"> 0.1 – &lt; 1</w:t>
            </w:r>
            <w:r>
              <w:t xml:space="preserve"> </w:t>
            </w:r>
          </w:p>
        </w:tc>
        <w:tc>
          <w:tcPr>
            <w:tcW w:w="311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  <w:jc w:val="both"/>
            </w:pPr>
            <w:r>
              <w:t>Acute Tox. 4 (Inhalácia:prach,hmla), H332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Eye Dam. 1, H318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Skin Sens. 1B, H317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STOT SE 3, H335</w:t>
            </w:r>
            <w:r>
              <w:t xml:space="preserve"> </w:t>
            </w:r>
          </w:p>
        </w:tc>
      </w:tr>
      <w:tr w:rsidR="00ED2E48">
        <w:trPr>
          <w:trHeight w:val="100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bis </w:t>
            </w:r>
            <w:r>
              <w:t>(2,2,6,6-tetrametyl-4-piperidyl) sebakát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č.</w:t>
            </w:r>
            <w:r>
              <w:t xml:space="preserve"> CAS: 52829-07-9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č.v</w:t>
            </w:r>
            <w:r>
              <w:t xml:space="preserve"> ES: 258-207-9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REACH </w:t>
            </w:r>
            <w:r>
              <w:t>čís</w:t>
            </w:r>
            <w:r>
              <w:t>: 01-2119537297-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32</w:t>
            </w:r>
            <w:r>
              <w:t xml:space="preserve"> </w:t>
            </w:r>
          </w:p>
        </w:tc>
        <w:tc>
          <w:tcPr>
            <w:tcW w:w="11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≥</w:t>
            </w:r>
            <w:r>
              <w:t xml:space="preserve"> 0,1 – &lt; 1</w:t>
            </w:r>
            <w:r>
              <w:t xml:space="preserve"> </w:t>
            </w:r>
          </w:p>
        </w:tc>
        <w:tc>
          <w:tcPr>
            <w:tcW w:w="311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Eye Dam. 1, H318</w:t>
            </w:r>
            <w:r>
              <w:t xml:space="preserve">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>Repr. 2, H361f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Aquatic Acute 1, H400</w:t>
            </w:r>
            <w:r>
              <w:t xml:space="preserve"> </w:t>
            </w:r>
          </w:p>
        </w:tc>
      </w:tr>
    </w:tbl>
    <w:p w:rsidR="00ED2E48" w:rsidRDefault="009A7ED6">
      <w:pPr>
        <w:spacing w:after="194"/>
        <w:ind w:left="-5"/>
      </w:pPr>
      <w:r>
        <w:t xml:space="preserve">Úplné znenie vyhlásení EUH týkajúcich sa zdravotných rizík a výstražných </w:t>
      </w:r>
      <w:r>
        <w:t xml:space="preserve">upozornení: pozrite si 16. </w:t>
      </w:r>
      <w:r>
        <w:t>časť</w:t>
      </w:r>
      <w:r>
        <w:t xml:space="preserve"> </w:t>
      </w:r>
    </w:p>
    <w:tbl>
      <w:tblPr>
        <w:tblStyle w:val="TableGrid"/>
        <w:tblW w:w="10506" w:type="dxa"/>
        <w:tblInd w:w="-6" w:type="dxa"/>
        <w:tblCellMar>
          <w:top w:w="35" w:type="dxa"/>
          <w:left w:w="0" w:type="dxa"/>
          <w:bottom w:w="35" w:type="dxa"/>
          <w:right w:w="75" w:type="dxa"/>
        </w:tblCellMar>
        <w:tblLook w:val="04A0" w:firstRow="1" w:lastRow="0" w:firstColumn="1" w:lastColumn="0" w:noHBand="0" w:noVBand="1"/>
      </w:tblPr>
      <w:tblGrid>
        <w:gridCol w:w="3812"/>
        <w:gridCol w:w="164"/>
        <w:gridCol w:w="6530"/>
      </w:tblGrid>
      <w:tr w:rsidR="00ED2E48">
        <w:trPr>
          <w:trHeight w:val="36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2E74B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FFFFFF"/>
                <w:sz w:val="20"/>
              </w:rPr>
              <w:t>ODDIEL 4: Opatrenia prvej pomoci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2E74B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2E74B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1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297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>4.1. Opis opatrení prvej pomoci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39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Všeobecné opatrenia prvej pomoci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V prípade </w:t>
            </w:r>
            <w:r>
              <w:t>nevoľnosti</w:t>
            </w:r>
            <w:r>
              <w:t xml:space="preserve"> sa </w:t>
            </w:r>
            <w:r>
              <w:t>poraďte</w:t>
            </w:r>
            <w:r>
              <w:t xml:space="preserve"> s lekárom.</w:t>
            </w:r>
            <w:r>
              <w:t xml:space="preserve"> </w:t>
            </w:r>
          </w:p>
        </w:tc>
      </w:tr>
      <w:tr w:rsidR="00ED2E48">
        <w:trPr>
          <w:trHeight w:val="442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Opatrenia prvej pomoci po vdýchnutí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>Presuňte</w:t>
            </w:r>
            <w:r>
              <w:t xml:space="preserve"> osobu na </w:t>
            </w:r>
            <w:r>
              <w:t>čerstvý</w:t>
            </w:r>
            <w:r>
              <w:t xml:space="preserve"> vzduch a umožnite jej pohodlne </w:t>
            </w:r>
            <w:r>
              <w:t>dýchať.</w:t>
            </w:r>
            <w:r>
              <w:t xml:space="preserve"> Dýchacie problémy: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praďte</w:t>
            </w:r>
            <w:r>
              <w:t xml:space="preserve"> sa s lekárom/medicínskou službou.</w:t>
            </w:r>
            <w:r>
              <w:t xml:space="preserve"> </w:t>
            </w:r>
          </w:p>
        </w:tc>
      </w:tr>
      <w:tr w:rsidR="00ED2E48">
        <w:trPr>
          <w:trHeight w:val="442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Opatrenia prvej pomoci po kontakte s pokožkou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Pokožku umyte </w:t>
            </w:r>
            <w:r>
              <w:t>veľkým</w:t>
            </w:r>
            <w:r>
              <w:t xml:space="preserve"> množstvom vody. Ak sa objaví podráždenie pokožky, </w:t>
            </w:r>
            <w:r>
              <w:t>vyhľadajte</w:t>
            </w:r>
            <w:r>
              <w:t xml:space="preserve"> lekársku </w:t>
            </w:r>
            <w:r>
              <w:t>pomoc/starostlivosť.</w:t>
            </w:r>
            <w:r>
              <w:t xml:space="preserve"> </w:t>
            </w:r>
          </w:p>
        </w:tc>
      </w:tr>
      <w:tr w:rsidR="00ED2E48">
        <w:trPr>
          <w:trHeight w:val="662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Opatrenia prvej pomoci po kontakte s </w:t>
            </w:r>
            <w:r>
              <w:t>očami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 používate kontaktné šošovky a ak je to možné, </w:t>
            </w:r>
            <w:r>
              <w:t>odstráňte</w:t>
            </w:r>
            <w:r>
              <w:t xml:space="preserve"> ich. </w:t>
            </w:r>
            <w:r>
              <w:t>Pokračujte</w:t>
            </w:r>
            <w:r>
              <w:t xml:space="preserve"> vo vyplachovaní. V prípade pretrvávajúceho podráždenia sa </w:t>
            </w:r>
            <w:r>
              <w:t>poraďte</w:t>
            </w:r>
            <w:r>
              <w:t xml:space="preserve"> s </w:t>
            </w:r>
            <w:r>
              <w:t>očným</w:t>
            </w:r>
            <w:r>
              <w:t xml:space="preserve"> lekárom. </w:t>
            </w:r>
            <w:r>
              <w:t>Oči</w:t>
            </w:r>
            <w:r>
              <w:t xml:space="preserve"> preventívne oplachujte v</w:t>
            </w:r>
            <w:r>
              <w:t>odou.</w:t>
            </w:r>
            <w:r>
              <w:t xml:space="preserve"> </w:t>
            </w:r>
          </w:p>
        </w:tc>
      </w:tr>
      <w:tr w:rsidR="00ED2E48">
        <w:trPr>
          <w:trHeight w:val="576"/>
        </w:trPr>
        <w:tc>
          <w:tcPr>
            <w:tcW w:w="38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2E48" w:rsidRDefault="009A7ED6">
            <w:pPr>
              <w:spacing w:after="184" w:line="259" w:lineRule="auto"/>
              <w:ind w:left="6" w:firstLine="0"/>
            </w:pPr>
            <w:r>
              <w:t>Opatrenia prvej pomoci po požití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6" w:firstLine="0"/>
            </w:pP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2E48" w:rsidRDefault="009A7ED6">
            <w:pPr>
              <w:spacing w:after="0" w:line="288" w:lineRule="auto"/>
              <w:ind w:left="0" w:firstLine="0"/>
            </w:pPr>
            <w:r>
              <w:t xml:space="preserve">Ústa vypláchnite vodou. Pri zdravotných problémoch, volajte národné toxikologické </w:t>
            </w:r>
            <w:r>
              <w:t>informačné</w:t>
            </w:r>
            <w:r>
              <w:t xml:space="preserve"> centrum alebo lekára.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right="443" w:firstLine="0"/>
              <w:jc w:val="center"/>
            </w:pPr>
            <w:r>
              <w:rPr>
                <w:sz w:val="2"/>
              </w:rPr>
              <w:t xml:space="preserve"> </w:t>
            </w:r>
          </w:p>
        </w:tc>
      </w:tr>
    </w:tbl>
    <w:p w:rsidR="00ED2E48" w:rsidRDefault="009A7ED6">
      <w:pPr>
        <w:spacing w:after="135" w:line="259" w:lineRule="auto"/>
        <w:ind w:left="23"/>
      </w:pPr>
      <w:r>
        <w:rPr>
          <w:b/>
          <w:color w:val="0070C0"/>
          <w:sz w:val="18"/>
        </w:rPr>
        <w:t>4.2. Najdôležitejšie príznaky a účinky, akútne aj oneskorené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>K dispozícii nie sú žiadne</w:t>
      </w:r>
      <w:r>
        <w:t xml:space="preserve">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4.3. Údaj o akejkoľvek potrebe okamžitej lekárskej starostlivosti a osobitného ošetrenia</w:t>
      </w:r>
      <w:r>
        <w:rPr>
          <w:b/>
          <w:sz w:val="18"/>
        </w:rPr>
        <w:t xml:space="preserve"> </w:t>
      </w:r>
    </w:p>
    <w:p w:rsidR="00ED2E48" w:rsidRDefault="009A7ED6">
      <w:pPr>
        <w:spacing w:after="481"/>
        <w:ind w:left="-5"/>
      </w:pPr>
      <w:r>
        <w:t xml:space="preserve">Symptomatická </w:t>
      </w:r>
      <w:r>
        <w:t>liečba.</w:t>
      </w:r>
      <w:r>
        <w:t xml:space="preserve"> </w:t>
      </w:r>
    </w:p>
    <w:p w:rsidR="00ED2E48" w:rsidRDefault="009A7ED6">
      <w:pPr>
        <w:pStyle w:val="Nadpis1"/>
        <w:ind w:left="23"/>
      </w:pPr>
      <w:r>
        <w:t>ODDIEL 5: Protipožiarne opatrenia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>5.1. Hasiace prostriedky</w:t>
      </w:r>
      <w:r>
        <w:rPr>
          <w:color w:val="000000"/>
        </w:rPr>
        <w:t xml:space="preserve"> </w:t>
      </w:r>
    </w:p>
    <w:p w:rsidR="00ED2E48" w:rsidRDefault="009A7ED6">
      <w:pPr>
        <w:spacing w:after="201"/>
        <w:ind w:left="-5" w:right="1752"/>
      </w:pPr>
      <w:r>
        <w:t>Vhodný hasiaci prostriedok</w:t>
      </w:r>
      <w:r>
        <w:t xml:space="preserve"> </w:t>
      </w:r>
      <w:r>
        <w:tab/>
      </w:r>
      <w:r>
        <w:t>:</w:t>
      </w:r>
      <w:r>
        <w:t xml:space="preserve"> </w:t>
      </w:r>
      <w:r>
        <w:t>Rozprašovaná voda. Suchý prášok.</w:t>
      </w:r>
      <w:r>
        <w:t xml:space="preserve"> Pena. Oxid </w:t>
      </w:r>
      <w:r>
        <w:t>uhličitý.</w:t>
      </w:r>
      <w:r>
        <w:t xml:space="preserve"> </w:t>
      </w:r>
      <w:r>
        <w:t>Nevhodné hasiace prostriedky</w:t>
      </w:r>
      <w:r>
        <w:t xml:space="preserve"> </w:t>
      </w:r>
      <w:r>
        <w:tab/>
      </w:r>
      <w:r>
        <w:t>:</w:t>
      </w:r>
      <w:r>
        <w:t xml:space="preserve"> </w:t>
      </w:r>
      <w:r>
        <w:t>Žiaden známy.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5.2. Osobitné ohrozenia vyplývajúce z látky alebo zo zmesi</w:t>
      </w:r>
      <w:r>
        <w:rPr>
          <w:b/>
          <w:sz w:val="18"/>
        </w:rPr>
        <w:t xml:space="preserve"> </w:t>
      </w:r>
    </w:p>
    <w:p w:rsidR="00ED2E48" w:rsidRDefault="009A7ED6">
      <w:pPr>
        <w:tabs>
          <w:tab w:val="center" w:pos="5130"/>
        </w:tabs>
        <w:spacing w:after="207"/>
        <w:ind w:left="-15" w:firstLine="0"/>
      </w:pPr>
      <w:r>
        <w:t>Nebezpečné</w:t>
      </w:r>
      <w:r>
        <w:t xml:space="preserve"> produkty rozkladu</w:t>
      </w:r>
      <w:r>
        <w:t xml:space="preserve"> </w:t>
      </w:r>
      <w:r>
        <w:tab/>
      </w:r>
      <w:r>
        <w:t>:</w:t>
      </w:r>
      <w:r>
        <w:t xml:space="preserve"> </w:t>
      </w:r>
      <w:r>
        <w:t xml:space="preserve">Možné </w:t>
      </w:r>
      <w:r>
        <w:t>uvoľnenie</w:t>
      </w:r>
      <w:r>
        <w:t xml:space="preserve"> toxických dymov.</w:t>
      </w:r>
      <w:r>
        <w:t xml:space="preserve"> </w:t>
      </w:r>
    </w:p>
    <w:p w:rsidR="00ED2E48" w:rsidRDefault="009A7ED6">
      <w:pPr>
        <w:pStyle w:val="Nadpis2"/>
        <w:ind w:left="23"/>
      </w:pPr>
      <w:r>
        <w:t>5.3. Rady pre požiarnikov</w:t>
      </w:r>
      <w:r>
        <w:rPr>
          <w:color w:val="000000"/>
        </w:rPr>
        <w:t xml:space="preserve"> </w:t>
      </w:r>
    </w:p>
    <w:p w:rsidR="00ED2E48" w:rsidRDefault="009A7ED6">
      <w:pPr>
        <w:spacing w:after="477"/>
        <w:ind w:left="3955" w:hanging="3970"/>
      </w:pPr>
      <w:r>
        <w:t>Ochrana pri hasení požiaru</w:t>
      </w:r>
      <w:r>
        <w:t xml:space="preserve"> </w:t>
      </w:r>
      <w:r>
        <w:tab/>
      </w:r>
      <w:r>
        <w:t>:</w:t>
      </w:r>
      <w:r>
        <w:t xml:space="preserve"> </w:t>
      </w:r>
      <w:r>
        <w:t xml:space="preserve">Nezasahujte bez príslušného ochranného zariadenia. Dýchací samostatný </w:t>
      </w:r>
      <w:r>
        <w:t>izolačný</w:t>
      </w:r>
      <w:r>
        <w:t xml:space="preserve"> prístroj. Kompletná ochrana tela.</w:t>
      </w:r>
      <w:r>
        <w:t xml:space="preserve"> </w:t>
      </w:r>
    </w:p>
    <w:p w:rsidR="00ED2E48" w:rsidRDefault="009A7ED6">
      <w:pPr>
        <w:pStyle w:val="Nadpis1"/>
        <w:ind w:left="23"/>
      </w:pPr>
      <w:r>
        <w:t xml:space="preserve">ODDIEL 6: Opatrenia pri náhodnom </w:t>
      </w:r>
      <w:r>
        <w:t>uvoľnení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 xml:space="preserve">6.1. Osobné </w:t>
      </w:r>
      <w:r>
        <w:t>bezpečnostné</w:t>
      </w:r>
      <w:r>
        <w:t xml:space="preserve"> opatrenia, ochranné vybavenie a núdzové postupy</w:t>
      </w:r>
      <w:r>
        <w:rPr>
          <w:color w:val="000000"/>
        </w:rP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6.1.1. Pre iný ako pohoto</w:t>
      </w:r>
      <w:r>
        <w:rPr>
          <w:b/>
          <w:color w:val="0070C0"/>
        </w:rPr>
        <w:t>vostný personál</w:t>
      </w:r>
      <w:r>
        <w:rPr>
          <w:b/>
        </w:rPr>
        <w:t xml:space="preserve"> </w:t>
      </w:r>
    </w:p>
    <w:p w:rsidR="00ED2E48" w:rsidRDefault="009A7ED6">
      <w:pPr>
        <w:tabs>
          <w:tab w:val="center" w:pos="5462"/>
        </w:tabs>
        <w:spacing w:after="143"/>
        <w:ind w:left="-15" w:firstLine="0"/>
      </w:pPr>
      <w:r>
        <w:t>Núdzové plány</w:t>
      </w:r>
      <w:r>
        <w:t xml:space="preserve"> </w:t>
      </w:r>
      <w:r>
        <w:tab/>
      </w:r>
      <w:r>
        <w:t>:</w:t>
      </w:r>
      <w:r>
        <w:t xml:space="preserve"> </w:t>
      </w:r>
      <w:r>
        <w:t>Vyvetrajte zónu, v ktorej došlo k prevrhnutiu.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6.1.2. Pre pohotovostný personál</w:t>
      </w:r>
      <w:r>
        <w:rPr>
          <w:b/>
        </w:rPr>
        <w:t xml:space="preserve"> </w:t>
      </w:r>
    </w:p>
    <w:p w:rsidR="00ED2E48" w:rsidRDefault="009A7ED6">
      <w:pPr>
        <w:tabs>
          <w:tab w:val="right" w:pos="10436"/>
        </w:tabs>
        <w:ind w:left="-15" w:firstLine="0"/>
      </w:pPr>
      <w:r>
        <w:t>Ochranné príslušenstvo</w:t>
      </w:r>
      <w:r>
        <w:t xml:space="preserve"> </w:t>
      </w:r>
      <w:r>
        <w:tab/>
      </w:r>
      <w:r>
        <w:t>:</w:t>
      </w:r>
      <w:r>
        <w:t xml:space="preserve"> </w:t>
      </w:r>
      <w:r>
        <w:t xml:space="preserve">Nezasahujte bez príslušného ochranného zariadenia. Pre viac informácií si pozrite </w:t>
      </w:r>
      <w:r>
        <w:t>časť</w:t>
      </w:r>
      <w:r>
        <w:t xml:space="preserve"> 8: </w:t>
      </w:r>
    </w:p>
    <w:p w:rsidR="00ED2E48" w:rsidRDefault="009A7ED6">
      <w:pPr>
        <w:spacing w:after="206" w:line="259" w:lineRule="auto"/>
        <w:ind w:left="215" w:firstLine="0"/>
        <w:jc w:val="center"/>
      </w:pPr>
      <w:r>
        <w:t>"Kontrola expozície/oso</w:t>
      </w:r>
      <w:r>
        <w:t>bná ochrana.".</w:t>
      </w:r>
      <w:r>
        <w:t xml:space="preserve"> </w:t>
      </w:r>
    </w:p>
    <w:p w:rsidR="00ED2E48" w:rsidRDefault="009A7ED6">
      <w:pPr>
        <w:pStyle w:val="Nadpis2"/>
        <w:ind w:left="23"/>
      </w:pPr>
      <w:r>
        <w:t xml:space="preserve">6.2. </w:t>
      </w:r>
      <w:r>
        <w:t>Bezpečnostné</w:t>
      </w:r>
      <w:r>
        <w:t xml:space="preserve"> opatrenia pre životné prostredie</w:t>
      </w:r>
      <w:r>
        <w:rPr>
          <w:color w:val="000000"/>
        </w:rPr>
        <w:t xml:space="preserve"> </w:t>
      </w:r>
    </w:p>
    <w:p w:rsidR="00ED2E48" w:rsidRDefault="009A7ED6">
      <w:pPr>
        <w:ind w:left="-5"/>
      </w:pPr>
      <w:r>
        <w:t>Zabráňte</w:t>
      </w:r>
      <w:r>
        <w:t xml:space="preserve"> </w:t>
      </w:r>
      <w:r>
        <w:t>uvoľneniu</w:t>
      </w:r>
      <w:r>
        <w:t xml:space="preserve"> do životného prostredia.</w:t>
      </w:r>
      <w:r>
        <w:t xml:space="preserve"> </w:t>
      </w:r>
    </w:p>
    <w:tbl>
      <w:tblPr>
        <w:tblStyle w:val="TableGrid"/>
        <w:tblW w:w="10506" w:type="dxa"/>
        <w:tblInd w:w="-6" w:type="dxa"/>
        <w:tblCellMar>
          <w:top w:w="35" w:type="dxa"/>
          <w:left w:w="0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3812"/>
        <w:gridCol w:w="6694"/>
      </w:tblGrid>
      <w:tr w:rsidR="00ED2E48">
        <w:trPr>
          <w:trHeight w:val="297"/>
        </w:trPr>
        <w:tc>
          <w:tcPr>
            <w:tcW w:w="10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>6.3. Metódy a materiál na zabránenie šíreniu a vyčistenie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39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Pre zadržiavanie</w:t>
            </w:r>
            <w:r>
              <w:t xml:space="preserve"> </w:t>
            </w:r>
          </w:p>
        </w:tc>
        <w:tc>
          <w:tcPr>
            <w:tcW w:w="6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  <w:r>
              <w:t>Zozbierajte uniknutý produkt.</w:t>
            </w:r>
            <w:r>
              <w:t xml:space="preserve"> </w:t>
            </w:r>
          </w:p>
        </w:tc>
      </w:tr>
      <w:tr w:rsidR="00ED2E48">
        <w:trPr>
          <w:trHeight w:val="442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Čistiace</w:t>
            </w:r>
            <w:r>
              <w:t xml:space="preserve"> procesy</w:t>
            </w:r>
            <w:r>
              <w:t xml:space="preserve"> </w:t>
            </w:r>
          </w:p>
        </w:tc>
        <w:tc>
          <w:tcPr>
            <w:tcW w:w="669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164" w:hanging="164"/>
            </w:pPr>
            <w:r>
              <w:t>:</w:t>
            </w:r>
            <w:r>
              <w:t xml:space="preserve"> </w:t>
            </w:r>
            <w:r>
              <w:t xml:space="preserve">Naberte </w:t>
            </w:r>
            <w:r>
              <w:t xml:space="preserve">pevný únik do uzatváracích nádob. </w:t>
            </w:r>
            <w:r>
              <w:t>Namočené</w:t>
            </w:r>
            <w:r>
              <w:t xml:space="preserve"> plochy oplachujte </w:t>
            </w:r>
            <w:r>
              <w:t>veľkým</w:t>
            </w:r>
            <w:r>
              <w:t xml:space="preserve"> množstvom vody. Zariadenie a odevy po práci </w:t>
            </w:r>
            <w:r>
              <w:t>vyčisťte.</w:t>
            </w:r>
            <w:r>
              <w:t xml:space="preserve"> </w:t>
            </w:r>
          </w:p>
        </w:tc>
      </w:tr>
      <w:tr w:rsidR="00ED2E48">
        <w:trPr>
          <w:trHeight w:val="342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Iné informácie</w:t>
            </w:r>
            <w:r>
              <w:t xml:space="preserve"> </w:t>
            </w:r>
          </w:p>
        </w:tc>
        <w:tc>
          <w:tcPr>
            <w:tcW w:w="669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  <w:r>
              <w:t xml:space="preserve">Nasiaknuté materiály alebo pevné zvyšky </w:t>
            </w:r>
            <w:r>
              <w:t>odstráňte</w:t>
            </w:r>
            <w:r>
              <w:t xml:space="preserve"> v autorizovanom stredisku.</w:t>
            </w:r>
            <w:r>
              <w:t xml:space="preserve"> </w:t>
            </w:r>
          </w:p>
        </w:tc>
      </w:tr>
      <w:tr w:rsidR="00ED2E48">
        <w:trPr>
          <w:trHeight w:val="297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>6.4. Odkaz na iné oddiely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694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</w:tbl>
    <w:p w:rsidR="00ED2E48" w:rsidRDefault="009A7ED6">
      <w:pPr>
        <w:spacing w:after="481"/>
        <w:ind w:left="-5"/>
      </w:pPr>
      <w:r>
        <w:t xml:space="preserve">Pre </w:t>
      </w:r>
      <w:r>
        <w:t xml:space="preserve">viac informácií pozri </w:t>
      </w:r>
      <w:r>
        <w:t>časť</w:t>
      </w:r>
      <w:r>
        <w:t xml:space="preserve"> 13.</w:t>
      </w:r>
      <w:r>
        <w:t xml:space="preserve"> </w:t>
      </w:r>
    </w:p>
    <w:p w:rsidR="00ED2E48" w:rsidRDefault="009A7ED6">
      <w:pPr>
        <w:pStyle w:val="Nadpis1"/>
        <w:ind w:left="23"/>
      </w:pPr>
      <w:r>
        <w:t>ODDIEL 7: Zaobchádzanie a skladovanie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 xml:space="preserve">7.1. </w:t>
      </w:r>
      <w:r>
        <w:t>Bezpečnostné</w:t>
      </w:r>
      <w:r>
        <w:t xml:space="preserve"> opatrenia na </w:t>
      </w:r>
      <w:r>
        <w:t>bezpečné</w:t>
      </w:r>
      <w:r>
        <w:t xml:space="preserve"> zaobchádzanie</w:t>
      </w:r>
      <w:r>
        <w:rPr>
          <w:color w:val="000000"/>
        </w:rPr>
        <w:t xml:space="preserve"> </w:t>
      </w:r>
    </w:p>
    <w:p w:rsidR="00ED2E48" w:rsidRDefault="009A7ED6">
      <w:pPr>
        <w:tabs>
          <w:tab w:val="center" w:pos="6761"/>
        </w:tabs>
        <w:ind w:left="-15" w:firstLine="0"/>
      </w:pPr>
      <w:r>
        <w:t>Bezpečnostné</w:t>
      </w:r>
      <w:r>
        <w:t xml:space="preserve"> opatrenia na </w:t>
      </w:r>
      <w:r>
        <w:t>bezpečné</w:t>
      </w:r>
      <w:r>
        <w:t xml:space="preserve"> </w:t>
      </w:r>
      <w:r>
        <w:tab/>
        <w:t>:</w:t>
      </w:r>
      <w:r>
        <w:t xml:space="preserve"> </w:t>
      </w:r>
      <w:r>
        <w:t>Zabezpečte</w:t>
      </w:r>
      <w:r>
        <w:t xml:space="preserve"> vhodné vetranie pracoviska. Noste individuálne ochranné vybavenie.</w:t>
      </w:r>
      <w:r>
        <w:t xml:space="preserve"> </w:t>
      </w:r>
    </w:p>
    <w:p w:rsidR="00ED2E48" w:rsidRDefault="009A7ED6">
      <w:pPr>
        <w:ind w:left="-5"/>
      </w:pPr>
      <w:r>
        <w:t>zaobchádzanie</w:t>
      </w:r>
      <w:r>
        <w:t xml:space="preserve"> </w:t>
      </w:r>
    </w:p>
    <w:p w:rsidR="00ED2E48" w:rsidRDefault="009A7ED6">
      <w:pPr>
        <w:tabs>
          <w:tab w:val="center" w:pos="6911"/>
        </w:tabs>
        <w:ind w:left="-15" w:firstLine="0"/>
      </w:pPr>
      <w:r>
        <w:t>Hygienické opatrenia</w:t>
      </w:r>
      <w:r>
        <w:t xml:space="preserve"> </w:t>
      </w:r>
      <w:r>
        <w:tab/>
      </w:r>
      <w:r>
        <w:t>:</w:t>
      </w:r>
      <w:r>
        <w:t xml:space="preserve"> </w:t>
      </w:r>
      <w:r>
        <w:t xml:space="preserve">Pri používaní výrobku nejedzte, nepite ani </w:t>
      </w:r>
      <w:r>
        <w:t>nefajčite.</w:t>
      </w:r>
      <w:r>
        <w:t xml:space="preserve"> Po každej manipulácii </w:t>
      </w:r>
      <w:r>
        <w:t>umyť</w:t>
      </w:r>
      <w:r>
        <w:t xml:space="preserve"> ruky.</w:t>
      </w:r>
      <w:r>
        <w:t xml:space="preserve"> </w:t>
      </w:r>
    </w:p>
    <w:tbl>
      <w:tblPr>
        <w:tblStyle w:val="TableGrid"/>
        <w:tblW w:w="10506" w:type="dxa"/>
        <w:tblInd w:w="-6" w:type="dxa"/>
        <w:tblCellMar>
          <w:top w:w="35" w:type="dxa"/>
          <w:left w:w="0" w:type="dxa"/>
          <w:bottom w:w="35" w:type="dxa"/>
          <w:right w:w="4" w:type="dxa"/>
        </w:tblCellMar>
        <w:tblLook w:val="04A0" w:firstRow="1" w:lastRow="0" w:firstColumn="1" w:lastColumn="0" w:noHBand="0" w:noVBand="1"/>
      </w:tblPr>
      <w:tblGrid>
        <w:gridCol w:w="3812"/>
        <w:gridCol w:w="6694"/>
      </w:tblGrid>
      <w:tr w:rsidR="00ED2E48">
        <w:trPr>
          <w:trHeight w:val="297"/>
        </w:trPr>
        <w:tc>
          <w:tcPr>
            <w:tcW w:w="10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>7.2. Podmienky bezpečného skladovania vrátane akejkoľvek nekompatibility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Podmienky skladovania</w:t>
            </w:r>
            <w:r>
              <w:t xml:space="preserve"> </w:t>
            </w:r>
          </w:p>
        </w:tc>
        <w:tc>
          <w:tcPr>
            <w:tcW w:w="6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164" w:hanging="164"/>
            </w:pPr>
            <w:r>
              <w:t>:</w:t>
            </w:r>
            <w:r>
              <w:t xml:space="preserve"> </w:t>
            </w:r>
            <w:r>
              <w:t>Uchovávať</w:t>
            </w:r>
            <w:r>
              <w:t xml:space="preserve"> pri okolitej teplote. </w:t>
            </w:r>
            <w:r>
              <w:t>Uchovávajte na dobre vetranom mieste. Nádobu uchovávajte tesne uzavretú.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Maximálna doba skladovania</w:t>
            </w:r>
            <w:r>
              <w:t xml:space="preserve"> </w:t>
            </w:r>
          </w:p>
        </w:tc>
        <w:tc>
          <w:tcPr>
            <w:tcW w:w="669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  <w:r>
              <w:t>1 rok</w:t>
            </w:r>
            <w:r>
              <w:t xml:space="preserve"> </w:t>
            </w:r>
          </w:p>
        </w:tc>
      </w:tr>
      <w:tr w:rsidR="00ED2E48">
        <w:trPr>
          <w:trHeight w:val="568"/>
        </w:trPr>
        <w:tc>
          <w:tcPr>
            <w:tcW w:w="105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2E48" w:rsidRDefault="009A7ED6">
            <w:pPr>
              <w:tabs>
                <w:tab w:val="center" w:pos="4476"/>
              </w:tabs>
              <w:spacing w:after="181" w:line="259" w:lineRule="auto"/>
              <w:ind w:left="0" w:firstLine="0"/>
            </w:pPr>
            <w:r>
              <w:t>Baliace materiály</w:t>
            </w:r>
            <w:r>
              <w:t xml:space="preserve"> </w:t>
            </w:r>
            <w:r>
              <w:tab/>
            </w:r>
            <w:r>
              <w:t>:</w:t>
            </w:r>
            <w:r>
              <w:t xml:space="preserve"> </w:t>
            </w:r>
            <w:r>
              <w:t>Syntetická látka.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6" w:firstLine="0"/>
            </w:pP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  <w:t xml:space="preserve"> </w:t>
            </w:r>
            <w:r>
              <w:rPr>
                <w:sz w:val="2"/>
              </w:rPr>
              <w:tab/>
              <w:t xml:space="preserve"> </w:t>
            </w:r>
          </w:p>
        </w:tc>
      </w:tr>
    </w:tbl>
    <w:p w:rsidR="00ED2E48" w:rsidRDefault="009A7ED6">
      <w:pPr>
        <w:spacing w:after="106" w:line="259" w:lineRule="auto"/>
        <w:ind w:left="-5"/>
      </w:pPr>
      <w:r>
        <w:rPr>
          <w:sz w:val="14"/>
        </w:rPr>
        <w:t>1.9.2021 (Dátum spracovania)</w:t>
      </w:r>
    </w:p>
    <w:p w:rsidR="00ED2E48" w:rsidRDefault="009A7ED6">
      <w:pPr>
        <w:spacing w:after="135" w:line="259" w:lineRule="auto"/>
        <w:ind w:left="23"/>
      </w:pPr>
      <w:r>
        <w:rPr>
          <w:b/>
          <w:color w:val="0070C0"/>
          <w:sz w:val="18"/>
        </w:rPr>
        <w:t>7.3. Špecifické konečné použitie, resp. použitia</w:t>
      </w:r>
      <w:r>
        <w:rPr>
          <w:b/>
          <w:sz w:val="18"/>
        </w:rPr>
        <w:t xml:space="preserve"> </w:t>
      </w:r>
    </w:p>
    <w:p w:rsidR="00ED2E48" w:rsidRDefault="009A7ED6">
      <w:pPr>
        <w:spacing w:after="481"/>
        <w:ind w:left="-5"/>
      </w:pPr>
      <w:r>
        <w:t xml:space="preserve">K dispozícii nie </w:t>
      </w:r>
      <w:r>
        <w:t xml:space="preserve">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pStyle w:val="Nadpis1"/>
        <w:ind w:left="23"/>
      </w:pPr>
      <w:r>
        <w:t>ODDIEL 8: Kontroly expozície/osobná ochrana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>8.1. Kontrolné parametre</w:t>
      </w:r>
      <w:r>
        <w:rPr>
          <w:color w:val="000000"/>
        </w:rP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8.1.1 Vnútroštátne medzné hodnoty expozície v pracovnom prostredí a biologické medzné hodnoty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8.1.2. Monitoro</w:t>
      </w:r>
      <w:r>
        <w:rPr>
          <w:b/>
          <w:color w:val="0070C0"/>
        </w:rPr>
        <w:t>vacích postupoch odporúčaných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8.1.3. Vznikajú látky znečisťujúce ovzdušie</w:t>
      </w:r>
      <w:r>
        <w:rPr>
          <w:b/>
        </w:rPr>
        <w:t xml:space="preserve"> </w:t>
      </w:r>
    </w:p>
    <w:p w:rsidR="00ED2E48" w:rsidRDefault="009A7ED6">
      <w:pPr>
        <w:ind w:left="-5" w:right="6940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  <w:r>
        <w:rPr>
          <w:b/>
          <w:color w:val="0070C0"/>
        </w:rPr>
        <w:t>8.1.4. DNEL a PNEC</w:t>
      </w:r>
      <w:r>
        <w:rPr>
          <w:b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DNEL/DMEL (Zamestnanci)</w:t>
            </w:r>
            <w:r>
              <w:rPr>
                <w:b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kožný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3,9 mg/kg </w:t>
            </w:r>
            <w:r>
              <w:t>TH/deň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27,6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DNEL/DMEL (Všeobecnej populácii)</w:t>
            </w:r>
            <w:r>
              <w:rPr>
                <w:b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systémové </w:t>
            </w:r>
            <w:r>
              <w:t>účinky,</w:t>
            </w:r>
            <w:r>
              <w:t xml:space="preserve"> kožná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26,9 mg/kg telesnej </w:t>
            </w:r>
            <w:r>
              <w:t>hmotnosti/deň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93,4</w:t>
            </w:r>
            <w:r>
              <w:t xml:space="preserve">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účinky,ústný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0,3 mg/kg </w:t>
            </w:r>
            <w:r>
              <w:t>TH/deň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18,9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kožný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7,8 mg/kg </w:t>
            </w:r>
            <w:r>
              <w:t>TH/deň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(Voda)</w:t>
            </w:r>
            <w:r>
              <w:rPr>
                <w:b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0,4 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(morskej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0,04 </w:t>
            </w:r>
            <w:r>
              <w:t>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(prerušovaný, 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3,4 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(Sediment)</w:t>
            </w:r>
            <w:r>
              <w:rPr>
                <w:b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sediment (sladkej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1,5 mg/kg váha v 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sediment (morskej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0,15 mg/kg váha v 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(Podlaha)</w:t>
            </w:r>
            <w:r>
              <w:rPr>
                <w:b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podlaha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0,06 mg/kg váha v </w:t>
            </w:r>
            <w:r>
              <w:t>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(STP)</w:t>
            </w:r>
            <w:r>
              <w:rPr>
                <w:b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PNEC </w:t>
            </w:r>
            <w:r>
              <w:t>čistiarne</w:t>
            </w:r>
            <w:r>
              <w:t xml:space="preserve"> odpadových vôd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6,6 mg/l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bis (2,2,6,6-tetrametyl-4-piperidyl) sebakát (52829-07-9)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DNEL/DMEL (Zamestnanci)</w:t>
            </w:r>
            <w:r>
              <w:rPr>
                <w:b/>
              </w:rPr>
              <w:t xml:space="preserve"> </w:t>
            </w:r>
          </w:p>
        </w:tc>
        <w:bookmarkStart w:id="0" w:name="_GoBack"/>
        <w:bookmarkEnd w:id="0"/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2,82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kožný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1,6 mg/kg</w:t>
            </w:r>
            <w:r>
              <w:t xml:space="preserve"> </w:t>
            </w:r>
            <w:r>
              <w:t>TH/deň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2,82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DNEL/DMEL (Všeobecnej populácii)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účinky,ústný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0,4 mg/kg </w:t>
            </w:r>
            <w:r>
              <w:t>TH/deň</w:t>
            </w:r>
            <w:r>
              <w:t xml:space="preserve"> </w:t>
            </w:r>
          </w:p>
        </w:tc>
      </w:tr>
    </w:tbl>
    <w:p w:rsidR="00ED2E48" w:rsidRDefault="009A7ED6">
      <w:pPr>
        <w:spacing w:after="14" w:line="259" w:lineRule="auto"/>
        <w:ind w:left="0" w:firstLine="0"/>
      </w:pPr>
      <w:r>
        <w:rPr>
          <w:sz w:val="2"/>
        </w:rPr>
        <w:t xml:space="preserve"> </w:t>
      </w:r>
      <w:r>
        <w:rPr>
          <w:sz w:val="2"/>
        </w:rPr>
        <w:tab/>
        <w:t xml:space="preserve"> </w:t>
      </w:r>
      <w:r>
        <w:rPr>
          <w:sz w:val="2"/>
        </w:rPr>
        <w:tab/>
        <w:t xml:space="preserve"> </w:t>
      </w:r>
    </w:p>
    <w:p w:rsidR="00ED2E48" w:rsidRDefault="009A7ED6">
      <w:pPr>
        <w:spacing w:after="0" w:line="259" w:lineRule="auto"/>
        <w:ind w:left="0" w:right="-52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59881" cy="6350"/>
                <wp:effectExtent l="0" t="0" r="0" b="0"/>
                <wp:docPr id="62358" name="Group 623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1" cy="6350"/>
                          <a:chOff x="0" y="0"/>
                          <a:chExt cx="6659881" cy="6350"/>
                        </a:xfrm>
                      </wpg:grpSpPr>
                      <wps:wsp>
                        <wps:cNvPr id="2172" name="Shape 2172"/>
                        <wps:cNvSpPr/>
                        <wps:spPr>
                          <a:xfrm>
                            <a:off x="0" y="0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2358" style="width:524.4pt;height:0.5pt;mso-position-horizontal-relative:char;mso-position-vertical-relative:line" coordsize="66598,63">
                <v:shape id="Shape 2172" style="position:absolute;width:66598;height:0;left:0;top:0;" coordsize="6659881,0" path="m0,0l665988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D2E48" w:rsidRDefault="00ED2E48">
      <w:pPr>
        <w:sectPr w:rsidR="00ED2E4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Restart w:val="eachPage"/>
          </w:footnotePr>
          <w:pgSz w:w="11906" w:h="16838"/>
          <w:pgMar w:top="709" w:right="750" w:bottom="732" w:left="720" w:header="708" w:footer="732" w:gutter="0"/>
          <w:cols w:space="708"/>
          <w:titlePg/>
        </w:sectPr>
      </w:pP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bis (2,2,6,6-tetrametyl-4-piperidyl) sebakát (52829-07-9)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0,69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kožný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0,8 mg/kg </w:t>
            </w:r>
            <w:r>
              <w:t>TH/deň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 xml:space="preserve">PNEC </w:t>
            </w:r>
            <w:r>
              <w:rPr>
                <w:b/>
                <w:color w:val="0070C0"/>
              </w:rPr>
              <w:t>(Voda)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0,019 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(morskej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0,002 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(Sediment)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sediment (sladkej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29 mg/kg váha v 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sediment (morskej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2,9 mg/kg váha v 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(Podlaha)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PNEC </w:t>
            </w:r>
            <w:r>
              <w:t>podlaha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5,9 mg/kg váha v 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(STP)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PNEC </w:t>
            </w:r>
            <w:r>
              <w:t>čistiarne</w:t>
            </w:r>
            <w:r>
              <w:t xml:space="preserve"> odpadových vôd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1 mg/l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N-(3-(trimetoxysilyl)propyl)etyléndiamín (1760-24-3)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DNEL/DMEL (Zamestnanci)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systémové </w:t>
            </w:r>
            <w:r>
              <w:t>účinky,</w:t>
            </w:r>
            <w:r>
              <w:t xml:space="preserve"> kožná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5 mg/kg telesnej </w:t>
            </w:r>
            <w:r>
              <w:t>hmotnosti/deň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</w:t>
            </w:r>
            <w:r>
              <w:t xml:space="preserve">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260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lokálne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5,36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kožný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5 mg/kg telesnej </w:t>
            </w:r>
            <w:r>
              <w:t>hmotnosti/deň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260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lokálne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0,6 </w:t>
            </w:r>
            <w:r>
              <w:t>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DNEL/DMEL (Všeobecnej populácii)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systémové </w:t>
            </w:r>
            <w:r>
              <w:t>účinky,</w:t>
            </w:r>
            <w:r>
              <w:t xml:space="preserve"> kožná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17 mg/kg telesnej </w:t>
            </w:r>
            <w:r>
              <w:t>hmotnosti/deň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50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Akútna - lokálne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4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účinky,ústný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8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50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systémové </w:t>
            </w:r>
            <w:r>
              <w:t>účinky,</w:t>
            </w:r>
            <w:r>
              <w:t xml:space="preserve"> kožný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2,5 mg/kg telesnej </w:t>
            </w:r>
            <w:r>
              <w:t>hmotnosti/deň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Dlhodobá - lokálne </w:t>
            </w:r>
            <w:r>
              <w:t>účinky,</w:t>
            </w:r>
            <w:r>
              <w:t xml:space="preserve"> inhalácia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0,1 mg/m³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(Voda)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0,062 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(morskej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0,006</w:t>
            </w:r>
            <w:r>
              <w:t xml:space="preserve"> 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aqua (prerušovaný, 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0,62 mg/l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(Sediment)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sediment (sladkej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0,22 mg/kg váha v 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sediment (morskej vody)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0,022 mg/kg váha v 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(Podlaha)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 podlaha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0,009 mg/kg váha v </w:t>
            </w:r>
            <w:r>
              <w:t>surovom stave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PNEC (STP)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PNEC </w:t>
            </w:r>
            <w:r>
              <w:t>čistiarne</w:t>
            </w:r>
            <w:r>
              <w:t xml:space="preserve"> odpadových vôd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25 mg/l</w:t>
            </w:r>
            <w:r>
              <w:t xml:space="preserve"> </w:t>
            </w:r>
          </w:p>
        </w:tc>
      </w:tr>
    </w:tbl>
    <w:p w:rsidR="00ED2E48" w:rsidRDefault="009A7ED6">
      <w:pPr>
        <w:spacing w:after="212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pStyle w:val="Nadpis3"/>
        <w:ind w:left="-5"/>
      </w:pPr>
      <w:r>
        <w:t>1.9.2021 (Dátum spracovania)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8.1.5. Kontrolné značkovanie</w:t>
      </w:r>
      <w:r>
        <w:rPr>
          <w:b/>
        </w:rPr>
        <w:t xml:space="preserve"> </w:t>
      </w:r>
    </w:p>
    <w:p w:rsidR="00ED2E48" w:rsidRDefault="009A7ED6">
      <w:pPr>
        <w:spacing w:after="202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pStyle w:val="Nadpis2"/>
        <w:ind w:left="23"/>
      </w:pPr>
      <w:r>
        <w:t>8.2. Kontroly expozície</w:t>
      </w:r>
      <w:r>
        <w:rPr>
          <w:color w:val="000000"/>
        </w:rPr>
        <w:t xml:space="preserve"> </w:t>
      </w:r>
    </w:p>
    <w:p w:rsidR="00ED2E48" w:rsidRDefault="009A7ED6">
      <w:pPr>
        <w:spacing w:after="122" w:line="259" w:lineRule="auto"/>
        <w:ind w:left="-5"/>
      </w:pPr>
      <w:r>
        <w:rPr>
          <w:b/>
          <w:color w:val="0070C0"/>
        </w:rPr>
        <w:t>8.2.1. Primerané technické zabezpečenie</w:t>
      </w:r>
      <w:r>
        <w:rPr>
          <w:b/>
        </w:rP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 xml:space="preserve">Primerané </w:t>
      </w:r>
      <w:r>
        <w:rPr>
          <w:b/>
        </w:rPr>
        <w:t>technické zabezpečenie: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>Zabezpečte</w:t>
      </w:r>
      <w:r>
        <w:t xml:space="preserve"> vhodné vetranie pracoviska.</w:t>
      </w:r>
      <w:r>
        <w:t xml:space="preserve"> </w:t>
      </w:r>
    </w:p>
    <w:p w:rsidR="00ED2E48" w:rsidRDefault="009A7ED6">
      <w:pPr>
        <w:spacing w:after="122" w:line="259" w:lineRule="auto"/>
        <w:ind w:left="-5"/>
      </w:pPr>
      <w:r>
        <w:rPr>
          <w:b/>
          <w:color w:val="0070C0"/>
        </w:rPr>
        <w:t>8.2.2. Osobné ochranné prostriedky</w:t>
      </w:r>
      <w:r>
        <w:rPr>
          <w:b/>
        </w:rP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Symbol(-y) osobných ochranných prostriedkov:</w:t>
      </w:r>
      <w:r>
        <w:rPr>
          <w:b/>
        </w:rPr>
        <w:t xml:space="preserve"> </w:t>
      </w:r>
    </w:p>
    <w:p w:rsidR="00ED2E48" w:rsidRDefault="009A7ED6">
      <w:pPr>
        <w:spacing w:after="108" w:line="259" w:lineRule="auto"/>
        <w:ind w:left="0" w:firstLine="0"/>
      </w:pPr>
      <w:r>
        <w:rPr>
          <w:noProof/>
        </w:rPr>
        <w:drawing>
          <wp:inline distT="0" distB="0" distL="0" distR="0">
            <wp:extent cx="635000" cy="635000"/>
            <wp:effectExtent l="0" t="0" r="0" b="0"/>
            <wp:docPr id="3932" name="Picture 39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2" name="Picture 393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ED2E48" w:rsidRDefault="009A7ED6">
      <w:pPr>
        <w:spacing w:after="122" w:line="259" w:lineRule="auto"/>
        <w:ind w:left="-5"/>
      </w:pPr>
      <w:r>
        <w:rPr>
          <w:b/>
          <w:color w:val="0070C0"/>
        </w:rPr>
        <w:t>8.2.2.1. Ochrany očí a tváre</w:t>
      </w:r>
      <w:r>
        <w:rPr>
          <w:b/>
        </w:rP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Ochrana očí: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>Bezpečnostné</w:t>
      </w:r>
      <w:r>
        <w:t xml:space="preserve"> okuliare</w:t>
      </w:r>
      <w:r>
        <w:t xml:space="preserve"> </w:t>
      </w:r>
    </w:p>
    <w:p w:rsidR="00ED2E48" w:rsidRDefault="009A7ED6">
      <w:pPr>
        <w:spacing w:after="122" w:line="259" w:lineRule="auto"/>
        <w:ind w:left="-5"/>
      </w:pPr>
      <w:r>
        <w:rPr>
          <w:b/>
          <w:color w:val="0070C0"/>
        </w:rPr>
        <w:t>8.2.2.2. Ochrana pokožky</w:t>
      </w:r>
      <w:r>
        <w:rPr>
          <w:b/>
        </w:rP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 xml:space="preserve">Ochrana </w:t>
      </w:r>
      <w:r>
        <w:rPr>
          <w:b/>
        </w:rPr>
        <w:t>pokožky a očí:</w:t>
      </w:r>
      <w:r>
        <w:rPr>
          <w:b/>
        </w:rPr>
        <w:t xml:space="preserve"> </w:t>
      </w:r>
    </w:p>
    <w:p w:rsidR="00ED2E48" w:rsidRDefault="009A7ED6">
      <w:pPr>
        <w:ind w:left="-5"/>
      </w:pPr>
      <w:r>
        <w:t>Noste vhodný ochranný odev</w:t>
      </w:r>
      <w:r>
        <w:t xml:space="preserve"> </w:t>
      </w:r>
    </w:p>
    <w:p w:rsidR="00ED2E48" w:rsidRDefault="009A7ED6">
      <w:pPr>
        <w:spacing w:after="62" w:line="259" w:lineRule="auto"/>
        <w:ind w:left="0" w:firstLine="0"/>
      </w:pPr>
      <w: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Ochrana rúk: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>Ochranné rukavice</w:t>
      </w:r>
      <w:r>
        <w:t xml:space="preserve"> </w:t>
      </w:r>
    </w:p>
    <w:p w:rsidR="00ED2E48" w:rsidRDefault="009A7ED6">
      <w:pPr>
        <w:spacing w:after="122" w:line="259" w:lineRule="auto"/>
        <w:ind w:left="-5"/>
      </w:pPr>
      <w:r>
        <w:rPr>
          <w:b/>
          <w:color w:val="0070C0"/>
        </w:rPr>
        <w:t>8.2.2.3. Ochrana dýchania</w:t>
      </w:r>
      <w:r>
        <w:rPr>
          <w:b/>
        </w:rP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Ochrana dýchania: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 xml:space="preserve">V prípade </w:t>
      </w:r>
      <w:r>
        <w:t>nedostatočného</w:t>
      </w:r>
      <w:r>
        <w:t xml:space="preserve"> vetrania používajte vhodný dýchací prístroj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8.2.2.4. Tepelnej nebezpečnosti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 xml:space="preserve">K dispozícii nie sú žiadne </w:t>
      </w:r>
      <w:r>
        <w:t>ď</w:t>
      </w:r>
      <w:r>
        <w:t>alšie</w:t>
      </w:r>
      <w:r>
        <w:t xml:space="preserve"> informácie</w:t>
      </w:r>
      <w:r>
        <w:t xml:space="preserve"> </w:t>
      </w:r>
    </w:p>
    <w:p w:rsidR="00ED2E48" w:rsidRDefault="009A7ED6">
      <w:pPr>
        <w:spacing w:after="122" w:line="259" w:lineRule="auto"/>
        <w:ind w:left="-5"/>
      </w:pPr>
      <w:r>
        <w:rPr>
          <w:b/>
          <w:color w:val="0070C0"/>
        </w:rPr>
        <w:t>8.2.3. Obmedzenie a kontrola expozície životného prostredia</w:t>
      </w:r>
      <w:r>
        <w:rPr>
          <w:b/>
        </w:rPr>
        <w:t xml:space="preserve"> </w:t>
      </w:r>
    </w:p>
    <w:p w:rsidR="00ED2E48" w:rsidRDefault="009A7ED6">
      <w:pPr>
        <w:spacing w:after="482" w:line="259" w:lineRule="auto"/>
        <w:ind w:left="-5" w:right="3121"/>
      </w:pPr>
      <w:r>
        <w:rPr>
          <w:b/>
        </w:rPr>
        <w:t>Obmedzenie a kontrola expozície životného prostredia:</w:t>
      </w:r>
      <w:r>
        <w:rPr>
          <w:b/>
        </w:rPr>
        <w:t xml:space="preserve"> </w:t>
      </w:r>
      <w:r>
        <w:t>Zabráňte</w:t>
      </w:r>
      <w:r>
        <w:t xml:space="preserve"> </w:t>
      </w:r>
      <w:r>
        <w:t>uvoľneniu</w:t>
      </w:r>
      <w:r>
        <w:t xml:space="preserve"> do životného prostredia.</w:t>
      </w:r>
      <w:r>
        <w:t xml:space="preserve"> </w:t>
      </w:r>
    </w:p>
    <w:p w:rsidR="00ED2E48" w:rsidRDefault="009A7ED6">
      <w:pPr>
        <w:pStyle w:val="Nadpis1"/>
        <w:spacing w:after="0"/>
        <w:ind w:left="23"/>
      </w:pPr>
      <w:r>
        <w:t>ODDIEL 9: Fyzikálne a chemické vlastnosti</w:t>
      </w:r>
      <w:r>
        <w:rPr>
          <w:color w:val="000000"/>
        </w:rPr>
        <w:t xml:space="preserve"> </w:t>
      </w:r>
    </w:p>
    <w:tbl>
      <w:tblPr>
        <w:tblStyle w:val="TableGrid"/>
        <w:tblW w:w="10506" w:type="dxa"/>
        <w:tblInd w:w="-6" w:type="dxa"/>
        <w:tblCellMar>
          <w:top w:w="9" w:type="dxa"/>
          <w:left w:w="0" w:type="dxa"/>
          <w:bottom w:w="35" w:type="dxa"/>
          <w:right w:w="75" w:type="dxa"/>
        </w:tblCellMar>
        <w:tblLook w:val="04A0" w:firstRow="1" w:lastRow="0" w:firstColumn="1" w:lastColumn="0" w:noHBand="0" w:noVBand="1"/>
      </w:tblPr>
      <w:tblGrid>
        <w:gridCol w:w="3812"/>
        <w:gridCol w:w="164"/>
        <w:gridCol w:w="6530"/>
      </w:tblGrid>
      <w:tr w:rsidR="00ED2E48">
        <w:trPr>
          <w:trHeight w:val="297"/>
        </w:trPr>
        <w:tc>
          <w:tcPr>
            <w:tcW w:w="10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 xml:space="preserve">9.1. Informácie o základných </w:t>
            </w:r>
            <w:r>
              <w:rPr>
                <w:b/>
                <w:color w:val="0070C0"/>
                <w:sz w:val="18"/>
              </w:rPr>
              <w:t>fyzikálnych a chemických vlastnostiach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39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Skupenstvo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Tuhé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Farba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Premenlivý.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Výzor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Pastovitý.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Čuch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charakteristika.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Prah zápachu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Bod tavenia / </w:t>
            </w:r>
            <w:r>
              <w:t>oblasť</w:t>
            </w:r>
            <w:r>
              <w:t xml:space="preserve"> topenia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Bod tuhnutia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Bod varu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Horľavosť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Limity výbušnosti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Dolná medza výbušnosti (LEL)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Horná medza výbušnosti (UEL)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Bod vzplanutia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&gt; 100 °C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Teplota samovznietenia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Teplota rozkladu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pH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pH roztok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Viskozita, kinematický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470"/>
        </w:trPr>
        <w:tc>
          <w:tcPr>
            <w:tcW w:w="1050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2E48" w:rsidRDefault="009A7ED6">
            <w:pPr>
              <w:tabs>
                <w:tab w:val="center" w:pos="4450"/>
              </w:tabs>
              <w:spacing w:after="83" w:line="259" w:lineRule="auto"/>
              <w:ind w:left="0" w:firstLine="0"/>
            </w:pPr>
            <w:r>
              <w:t>Rozpustnosť</w:t>
            </w:r>
            <w:r>
              <w:t xml:space="preserve"> </w:t>
            </w:r>
            <w:r>
              <w:tab/>
            </w:r>
            <w:r>
              <w:t>:</w:t>
            </w:r>
            <w:r>
              <w:t xml:space="preserve"> </w:t>
            </w:r>
            <w:r>
              <w:t>Nie je dostupné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6" w:firstLine="0"/>
            </w:pP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  <w:t xml:space="preserve"> </w:t>
            </w:r>
            <w:r>
              <w:rPr>
                <w:sz w:val="2"/>
              </w:rPr>
              <w:tab/>
              <w:t xml:space="preserve"> </w:t>
            </w:r>
          </w:p>
        </w:tc>
      </w:tr>
      <w:tr w:rsidR="00ED2E48">
        <w:trPr>
          <w:trHeight w:val="361"/>
        </w:trPr>
        <w:tc>
          <w:tcPr>
            <w:tcW w:w="38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2E48" w:rsidRDefault="009A7ED6">
            <w:pPr>
              <w:spacing w:after="243" w:line="259" w:lineRule="auto"/>
              <w:ind w:left="6" w:firstLine="0"/>
            </w:pPr>
            <w:r>
              <w:rPr>
                <w:sz w:val="2"/>
              </w:rPr>
              <w:t xml:space="preserve"> </w:t>
            </w:r>
          </w:p>
          <w:p w:rsidR="00ED2E48" w:rsidRDefault="009A7ED6">
            <w:pPr>
              <w:spacing w:after="0" w:line="259" w:lineRule="auto"/>
              <w:ind w:left="6" w:firstLine="0"/>
            </w:pPr>
            <w:r>
              <w:t>Rozdeľovací</w:t>
            </w:r>
            <w:r>
              <w:t xml:space="preserve"> koeficient n-oktanol/voda (Log Kow)</w:t>
            </w:r>
            <w:r>
              <w:t xml:space="preserve"> </w:t>
            </w:r>
          </w:p>
        </w:tc>
        <w:tc>
          <w:tcPr>
            <w:tcW w:w="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Tlak pary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Tlak pary pri 50 °C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Hustota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1,539 g/cm³ (20°C)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Relatívna hustota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1,539 (20°C)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Relatívna hustota pár pri 20 °C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Neuplatňuje</w:t>
            </w:r>
            <w:r>
              <w:t xml:space="preserve"> sa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Veľkosť</w:t>
            </w:r>
            <w:r>
              <w:t xml:space="preserve">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Rozloženie </w:t>
            </w:r>
            <w:r>
              <w:t>veľkosti</w:t>
            </w:r>
            <w:r>
              <w:t xml:space="preserve">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Tvar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Pomer strán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Stav agregácie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Stav aglomerácie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21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 xml:space="preserve">Špecifické povrchové plochy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</w:t>
            </w:r>
            <w:r>
              <w:t xml:space="preserve"> je dostupné</w:t>
            </w:r>
            <w:r>
              <w:t xml:space="preserve"> </w:t>
            </w:r>
          </w:p>
        </w:tc>
      </w:tr>
      <w:tr w:rsidR="00ED2E48">
        <w:trPr>
          <w:trHeight w:val="342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Prašnosť</w:t>
            </w:r>
            <w:r>
              <w:t xml:space="preserve"> </w:t>
            </w:r>
            <w:r>
              <w:t>častíc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Nie je dostupné</w:t>
            </w:r>
            <w:r>
              <w:t xml:space="preserve"> </w:t>
            </w:r>
          </w:p>
        </w:tc>
      </w:tr>
      <w:tr w:rsidR="00ED2E48">
        <w:trPr>
          <w:trHeight w:val="297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>9.2. Iné informácie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</w:tbl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9.2.1. Informácie týkajúce sa tried fyzikálnej nebezpečnosti</w:t>
      </w:r>
      <w:r>
        <w:rPr>
          <w:b/>
        </w:rPr>
        <w:t xml:space="preserve"> </w:t>
      </w:r>
    </w:p>
    <w:p w:rsidR="00ED2E48" w:rsidRDefault="009A7ED6">
      <w:pPr>
        <w:spacing w:after="138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9.2.2. Ostatné bezpečnostné charakteristiky</w:t>
      </w:r>
      <w:r>
        <w:rPr>
          <w:b/>
        </w:rPr>
        <w:t xml:space="preserve"> </w:t>
      </w:r>
    </w:p>
    <w:p w:rsidR="00ED2E48" w:rsidRDefault="009A7ED6">
      <w:pPr>
        <w:tabs>
          <w:tab w:val="center" w:pos="4635"/>
        </w:tabs>
        <w:spacing w:after="486"/>
        <w:ind w:left="-15" w:firstLine="0"/>
      </w:pPr>
      <w:r>
        <w:t>Koncentrácia VOC</w:t>
      </w:r>
      <w:r>
        <w:t xml:space="preserve"> </w:t>
      </w:r>
      <w:r>
        <w:tab/>
      </w:r>
      <w:r>
        <w:t>:</w:t>
      </w:r>
      <w:r>
        <w:t xml:space="preserve"> </w:t>
      </w:r>
      <w:r>
        <w:t>&lt; 4,66</w:t>
      </w:r>
      <w:r>
        <w:t xml:space="preserve"> % (&lt;71.72 g/l)</w:t>
      </w:r>
      <w:r>
        <w:t xml:space="preserve"> </w:t>
      </w:r>
    </w:p>
    <w:p w:rsidR="00ED2E48" w:rsidRDefault="009A7ED6">
      <w:pPr>
        <w:pStyle w:val="Nadpis1"/>
        <w:ind w:left="23"/>
      </w:pPr>
      <w:r>
        <w:t>ODDIEL 10: Stabilita a reaktivita</w:t>
      </w:r>
      <w:r>
        <w:rPr>
          <w:color w:val="000000"/>
        </w:rP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10.1. Reaktivita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 xml:space="preserve">Produkt nereaguje za normálnych </w:t>
      </w:r>
      <w:r>
        <w:t>používateľských</w:t>
      </w:r>
      <w:r>
        <w:t xml:space="preserve"> podmienok, skladovacích a prepravných podmienok.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10.2. Chemická stabilita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>Stabilné za normálnych podmienok.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 xml:space="preserve">10.3. Možnosť nebezpečných </w:t>
      </w:r>
      <w:r>
        <w:rPr>
          <w:b/>
          <w:color w:val="0070C0"/>
          <w:sz w:val="18"/>
        </w:rPr>
        <w:t>reakcií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 xml:space="preserve">Žiadna známa </w:t>
      </w:r>
      <w:r>
        <w:t>nebezpečná</w:t>
      </w:r>
      <w:r>
        <w:t xml:space="preserve"> reakcia za normálnych </w:t>
      </w:r>
      <w:r>
        <w:t>užívateľských</w:t>
      </w:r>
      <w:r>
        <w:t xml:space="preserve"> podmienok.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10.4. Podmienky, ktorým sa treba vyhnúť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 xml:space="preserve">Žiadna za </w:t>
      </w:r>
      <w:r>
        <w:t>odporúčaných</w:t>
      </w:r>
      <w:r>
        <w:t xml:space="preserve"> skladovacích a </w:t>
      </w:r>
      <w:r>
        <w:t>manipulačných</w:t>
      </w:r>
      <w:r>
        <w:t xml:space="preserve"> podmienok (pozri oddiel 7).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10.5. Nekompatibilné materiály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 xml:space="preserve">K dispozícii nie sú </w:t>
      </w:r>
      <w:r>
        <w:t xml:space="preserve">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10.6. Nebezpečné produkty rozkladu</w:t>
      </w:r>
      <w:r>
        <w:rPr>
          <w:b/>
          <w:sz w:val="18"/>
        </w:rPr>
        <w:t xml:space="preserve"> </w:t>
      </w:r>
    </w:p>
    <w:p w:rsidR="00ED2E48" w:rsidRDefault="009A7ED6">
      <w:pPr>
        <w:spacing w:after="481"/>
        <w:ind w:left="-5"/>
      </w:pPr>
      <w:r>
        <w:t xml:space="preserve">Pri normálnych podmienkach skladovania a používania by nemal </w:t>
      </w:r>
      <w:r>
        <w:t>vznikať</w:t>
      </w:r>
      <w:r>
        <w:t xml:space="preserve"> žiadny </w:t>
      </w:r>
      <w:r>
        <w:t>nebezpečný</w:t>
      </w:r>
      <w:r>
        <w:t xml:space="preserve"> rozkladový produkt.</w:t>
      </w:r>
      <w:r>
        <w:t xml:space="preserve"> </w:t>
      </w:r>
    </w:p>
    <w:p w:rsidR="00ED2E48" w:rsidRDefault="009A7ED6">
      <w:pPr>
        <w:pStyle w:val="Nadpis1"/>
        <w:ind w:left="23"/>
      </w:pPr>
      <w:r>
        <w:t>ODDIEL 11: Toxikologické informácie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 xml:space="preserve">11.1. Informácie o triedach </w:t>
      </w:r>
      <w:r>
        <w:t>nebezpečnosti</w:t>
      </w:r>
      <w:r>
        <w:t xml:space="preserve"> </w:t>
      </w:r>
      <w:r>
        <w:t xml:space="preserve">vymedzených v nariadení (ES) </w:t>
      </w:r>
      <w:r>
        <w:t>č.</w:t>
      </w:r>
      <w:r>
        <w:t xml:space="preserve"> 1272/2008</w:t>
      </w:r>
      <w:r>
        <w:rPr>
          <w:color w:val="000000"/>
        </w:rPr>
        <w:t xml:space="preserve"> </w:t>
      </w:r>
    </w:p>
    <w:p w:rsidR="00ED2E48" w:rsidRDefault="009A7ED6">
      <w:pPr>
        <w:tabs>
          <w:tab w:val="center" w:pos="4444"/>
        </w:tabs>
        <w:ind w:left="-15" w:firstLine="0"/>
      </w:pPr>
      <w:r>
        <w:t>Akútna toxicita (perorálna)</w:t>
      </w:r>
      <w:r>
        <w:t xml:space="preserve"> </w:t>
      </w:r>
      <w:r>
        <w:tab/>
      </w:r>
      <w:r>
        <w:t>:</w:t>
      </w:r>
      <w:r>
        <w:t xml:space="preserve"> </w:t>
      </w:r>
      <w:r>
        <w:t>Neklasifikovaný</w:t>
      </w:r>
      <w:r>
        <w:t xml:space="preserve"> </w:t>
      </w:r>
    </w:p>
    <w:p w:rsidR="00ED2E48" w:rsidRDefault="009A7ED6">
      <w:pPr>
        <w:tabs>
          <w:tab w:val="center" w:pos="4444"/>
        </w:tabs>
        <w:ind w:left="-15" w:firstLine="0"/>
      </w:pPr>
      <w:r>
        <w:t>Akútna toxicita (dermálna)</w:t>
      </w:r>
      <w:r>
        <w:t xml:space="preserve"> </w:t>
      </w:r>
      <w:r>
        <w:tab/>
      </w:r>
      <w:r>
        <w:t>:</w:t>
      </w:r>
      <w:r>
        <w:t xml:space="preserve"> </w:t>
      </w:r>
      <w:r>
        <w:t>Neklasifikovaný</w:t>
      </w:r>
      <w:r>
        <w:t xml:space="preserve"> </w:t>
      </w:r>
    </w:p>
    <w:p w:rsidR="00ED2E48" w:rsidRDefault="009A7ED6">
      <w:pPr>
        <w:tabs>
          <w:tab w:val="center" w:pos="4444"/>
        </w:tabs>
        <w:ind w:left="-15" w:firstLine="0"/>
      </w:pPr>
      <w:r>
        <w:t xml:space="preserve">Akútna toxicita </w:t>
      </w:r>
      <w:r>
        <w:t>(inhalačná)</w:t>
      </w:r>
      <w:r>
        <w:t xml:space="preserve"> </w:t>
      </w:r>
      <w:r>
        <w:tab/>
      </w:r>
      <w:r>
        <w:t>:</w:t>
      </w:r>
      <w:r>
        <w:t xml:space="preserve"> </w:t>
      </w:r>
      <w:r>
        <w:t>Neklasifikovaný</w:t>
      </w:r>
      <w:r>
        <w:t xml:space="preserve"> </w:t>
      </w:r>
    </w:p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LD50 orálne potkan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7120 – 7236 </w:t>
            </w:r>
            <w:r>
              <w:t>mg/kg telesnej hmotnosti (Equivalent or similar to OECD 401, Rat, Male / female, Experimental value, Oral, 14 day(s))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LD50 dermálne králik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3259 – 3880 mg/kg telesnej hmotnosti (Equivalent or similar to OECD 402, 24 h, Rabbit,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Female, Converted value, </w:t>
            </w:r>
            <w:r>
              <w:t>Dermal, 14 day(s))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7" w:type="dxa"/>
          <w:left w:w="56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LC50 </w:t>
            </w:r>
            <w:r>
              <w:t>Inhalačne</w:t>
            </w:r>
            <w:r>
              <w:t xml:space="preserve"> - Potkan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  <w:jc w:val="both"/>
            </w:pPr>
            <w:r>
              <w:t xml:space="preserve">16,8 mg/l (Equivalent or similar to OECD 403, 4 h, Rat, Male / female, Experimental value,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Inhalation (vapours), 14 day(s))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9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bis (2,2,6,6-tetrametyl-4-piperidyl) sebakát</w:t>
            </w:r>
            <w:r>
              <w:rPr>
                <w:b/>
                <w:color w:val="0070C0"/>
                <w:sz w:val="18"/>
              </w:rPr>
              <w:t xml:space="preserve"> (52829-07-9)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LD50 orálne potkan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3700 mg/kg telesnej hmotnosti (Equivalent or similar to OECD 423, Rat, Male / female,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Experimental value, Oral, 14 day(s))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LD50 dermálne u potkana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&gt; 3170 mg/kg telesnej hmotnosti (Equivalent or similar to OECD 402, </w:t>
            </w:r>
            <w:r>
              <w:t>24 h, Rat, Male / female, Experimental value, Dermal, 14 day(s))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LC50 </w:t>
            </w:r>
            <w:r>
              <w:t>Inhalačne</w:t>
            </w:r>
            <w:r>
              <w:t xml:space="preserve"> - Potkan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0,5 mg/l air (Equivalent or similar to OECD 403, 4 weeks (daily, 5 days / week), Rat, Male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/ female, Experimental value, Inhalation (aerosol), 7 day(s))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N-(3-(trimetoxysilyl)propyl)etyléndiamín (1760-24-3)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LD50 orálne potkan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2295 mg/kg telesnej hmotnosti (EPA OPPTS 870.1100: Acute Oral Toxicity, Rat, Male / female, Experimental value, Oral, 14 day(s))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LD50 dermálne králik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&gt; 2000 mg/kg telesnej </w:t>
            </w:r>
            <w:r>
              <w:t xml:space="preserve">hmotnosti (EPA OPPTS 870.7600, 24 h, Rabbit, Male / female,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Experimental value, Dermal)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LC50 </w:t>
            </w:r>
            <w:r>
              <w:t>Inhalačne</w:t>
            </w:r>
            <w:r>
              <w:t xml:space="preserve"> - Potkan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1,49 – 2,44 mg/l (EPA OPPTS 870.1300: Acute Inhalation Toxicity, 4 h, Rat, Male / female, Experimental value, Inhalation (aerosol), 14 day(s</w:t>
            </w:r>
            <w:r>
              <w:t>))</w:t>
            </w:r>
            <w:r>
              <w:t xml:space="preserve"> </w:t>
            </w:r>
          </w:p>
        </w:tc>
      </w:tr>
    </w:tbl>
    <w:p w:rsidR="00ED2E48" w:rsidRDefault="009A7ED6">
      <w:pPr>
        <w:spacing w:after="9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991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805"/>
        <w:gridCol w:w="6114"/>
      </w:tblGrid>
      <w:tr w:rsidR="00ED2E48">
        <w:trPr>
          <w:trHeight w:val="227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Poleptanie kože/podráždenie kože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:</w:t>
            </w:r>
            <w:r>
              <w:t xml:space="preserve"> </w:t>
            </w:r>
            <w:r>
              <w:t>Neklasifikovaný</w:t>
            </w:r>
            <w:r>
              <w:t xml:space="preserve"> </w:t>
            </w:r>
          </w:p>
        </w:tc>
      </w:tr>
      <w:tr w:rsidR="00ED2E48">
        <w:trPr>
          <w:trHeight w:val="244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Vážne poškodenie </w:t>
            </w:r>
            <w:r>
              <w:t>očí/podráždenie</w:t>
            </w:r>
            <w:r>
              <w:t xml:space="preserve"> </w:t>
            </w:r>
            <w:r>
              <w:t>očí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:</w:t>
            </w:r>
            <w:r>
              <w:t xml:space="preserve"> </w:t>
            </w:r>
            <w:r>
              <w:t>Neklasifikovaný</w:t>
            </w:r>
            <w:r>
              <w:t xml:space="preserve"> </w:t>
            </w:r>
          </w:p>
        </w:tc>
      </w:tr>
      <w:tr w:rsidR="00ED2E48">
        <w:trPr>
          <w:trHeight w:val="244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Respiračná</w:t>
            </w:r>
            <w:r>
              <w:t xml:space="preserve"> alebo kožná senzibilizácia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1" w:firstLine="0"/>
              <w:jc w:val="both"/>
            </w:pPr>
            <w:r>
              <w:t>:</w:t>
            </w:r>
            <w:r>
              <w:t xml:space="preserve"> </w:t>
            </w:r>
            <w:r>
              <w:t>Neklasifikovaný. (Na základe údajov z testov. Kožná senzibilizácia Neklasifikovaný)</w:t>
            </w:r>
            <w:r>
              <w:t xml:space="preserve"> </w:t>
            </w:r>
          </w:p>
        </w:tc>
      </w:tr>
      <w:tr w:rsidR="00ED2E48">
        <w:trPr>
          <w:trHeight w:val="244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Mutagenita </w:t>
            </w:r>
            <w:r>
              <w:t>zárodočných</w:t>
            </w:r>
            <w:r>
              <w:t xml:space="preserve"> buniek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:</w:t>
            </w:r>
            <w:r>
              <w:t xml:space="preserve"> </w:t>
            </w:r>
            <w:r>
              <w:t>Neklasifikovaný</w:t>
            </w:r>
            <w:r>
              <w:t xml:space="preserve"> </w:t>
            </w:r>
          </w:p>
        </w:tc>
      </w:tr>
      <w:tr w:rsidR="00ED2E48">
        <w:trPr>
          <w:trHeight w:val="244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Karcinogenita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:</w:t>
            </w:r>
            <w:r>
              <w:t xml:space="preserve"> </w:t>
            </w:r>
            <w:r>
              <w:t>Neklasifikovaný.</w:t>
            </w:r>
            <w:r>
              <w:t xml:space="preserve"> </w:t>
            </w:r>
          </w:p>
        </w:tc>
      </w:tr>
      <w:tr w:rsidR="00ED2E48">
        <w:trPr>
          <w:trHeight w:val="167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Reprodukčná</w:t>
            </w:r>
            <w:r>
              <w:t xml:space="preserve"> toxicita</w:t>
            </w:r>
            <w:r>
              <w:t xml:space="preserve"> </w:t>
            </w:r>
          </w:p>
        </w:tc>
        <w:tc>
          <w:tcPr>
            <w:tcW w:w="611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  <w:r>
              <w:t>Neklasifikovaný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  <w:vAlign w:val="center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788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NOAEL </w:t>
            </w:r>
            <w:r>
              <w:t>(živočíchy/samčie,</w:t>
            </w:r>
            <w:r>
              <w:t xml:space="preserve"> F0/P)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  <w:jc w:val="both"/>
            </w:pPr>
            <w:r>
              <w:t>1000 mg/kg telesnej hmotnosti Animal: rat, Animal sex:</w:t>
            </w:r>
            <w:r>
              <w:t xml:space="preserve"> male, Guideline: OECD Combined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Repeated Dose and Reproductive / Developmental Toxicity Screening Test (Precursor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Protocol of GL 422)</w:t>
            </w:r>
            <w:r>
              <w:t xml:space="preserve"> </w:t>
            </w:r>
          </w:p>
        </w:tc>
      </w:tr>
      <w:tr w:rsidR="00ED2E48">
        <w:trPr>
          <w:trHeight w:val="78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NOAEL </w:t>
            </w:r>
            <w:r>
              <w:t>(živočíchy/samičie,</w:t>
            </w:r>
            <w:r>
              <w:t xml:space="preserve"> F0/P)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250 mg/kg telesnej hmotnosti Animal: rat, Animal sex: female, Guideline: OECD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Combined Repeated Dose and Reproductive / Developmental Toxicity Screening Test (Precursor Protocol of GL 422)</w:t>
            </w:r>
            <w:r>
              <w:t xml:space="preserve"> </w:t>
            </w:r>
          </w:p>
        </w:tc>
      </w:tr>
    </w:tbl>
    <w:p w:rsidR="00ED2E48" w:rsidRDefault="009A7ED6">
      <w:pPr>
        <w:spacing w:after="144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ind w:left="-5" w:right="2005"/>
      </w:pPr>
      <w:r>
        <w:t xml:space="preserve">Toxicita pre špecifický </w:t>
      </w:r>
      <w:r>
        <w:t>cieľový</w:t>
      </w:r>
      <w:r>
        <w:t xml:space="preserve"> orgán (STOT) – </w:t>
      </w:r>
      <w:r>
        <w:tab/>
        <w:t>:</w:t>
      </w:r>
      <w:r>
        <w:t xml:space="preserve"> </w:t>
      </w:r>
      <w:r>
        <w:t>Neklasifikovaný</w:t>
      </w:r>
      <w:r>
        <w:t xml:space="preserve"> </w:t>
      </w:r>
      <w:r>
        <w:t>jednorazová expozícia</w:t>
      </w:r>
      <w:r>
        <w:t xml:space="preserve"> </w:t>
      </w:r>
    </w:p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7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N-(3-(trimetoxysilyl)propyl)etyléndiamín</w:t>
            </w:r>
            <w:r>
              <w:rPr>
                <w:b/>
                <w:color w:val="0070C0"/>
                <w:sz w:val="18"/>
              </w:rPr>
              <w:t xml:space="preserve"> (1760-24-3)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Toxicita pre špecifický </w:t>
            </w:r>
            <w:r>
              <w:t>cieľový</w:t>
            </w:r>
            <w:r>
              <w:t xml:space="preserve"> orgán (STOT) – jednorazová expozícia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Môže </w:t>
            </w:r>
            <w:r>
              <w:t>spôsobiť</w:t>
            </w:r>
            <w:r>
              <w:t xml:space="preserve"> podráždenie dýchacích ciest. </w:t>
            </w:r>
            <w:r>
              <w:t xml:space="preserve"> </w:t>
            </w:r>
          </w:p>
        </w:tc>
      </w:tr>
    </w:tbl>
    <w:p w:rsidR="00ED2E48" w:rsidRDefault="009A7ED6">
      <w:pPr>
        <w:spacing w:after="144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ind w:left="-5" w:right="2094"/>
      </w:pPr>
      <w:r>
        <w:t xml:space="preserve">Toxicita pre špecifický </w:t>
      </w:r>
      <w:r>
        <w:t>cieľový</w:t>
      </w:r>
      <w:r>
        <w:t xml:space="preserve"> orgán (STOT) – </w:t>
      </w:r>
      <w:r>
        <w:tab/>
        <w:t>:</w:t>
      </w:r>
      <w:r>
        <w:t xml:space="preserve"> </w:t>
      </w:r>
      <w:r>
        <w:t>Neklasifikovaný</w:t>
      </w:r>
      <w:r>
        <w:t xml:space="preserve"> </w:t>
      </w:r>
      <w:r>
        <w:t>opakovaná expozícia</w:t>
      </w:r>
      <w:r>
        <w:t xml:space="preserve"> </w:t>
      </w:r>
    </w:p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N-(3-(trimetoxysilyl)propyl)etyléndiamín (1760-24-3)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LOAEL (kožný,potkan/králik,90 dní)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≥</w:t>
            </w:r>
            <w:r>
              <w:t xml:space="preserve"> Animal: rat</w:t>
            </w:r>
            <w:r>
              <w:t xml:space="preserve"> </w:t>
            </w:r>
          </w:p>
        </w:tc>
      </w:tr>
      <w:tr w:rsidR="00ED2E48">
        <w:trPr>
          <w:trHeight w:val="78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NOAEL (ústný,potkan,90 dní)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≥</w:t>
            </w:r>
            <w:r>
              <w:t xml:space="preserve"> 500 mg/kg telesnej hmotnosti Animal: rat, Guideline: OECD Guideline 422 (Combined </w:t>
            </w:r>
          </w:p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Repeated Dose Toxicity Study with </w:t>
            </w:r>
            <w:r>
              <w:t xml:space="preserve">the Reproduction / Developmental Toxicity Screening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Test)</w:t>
            </w:r>
            <w:r>
              <w:t xml:space="preserve"> </w:t>
            </w:r>
          </w:p>
        </w:tc>
      </w:tr>
    </w:tbl>
    <w:p w:rsidR="00ED2E48" w:rsidRDefault="009A7ED6">
      <w:pPr>
        <w:spacing w:after="9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506" w:type="dxa"/>
        <w:tblInd w:w="-6" w:type="dxa"/>
        <w:tblCellMar>
          <w:top w:w="0" w:type="dxa"/>
          <w:left w:w="0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3812"/>
        <w:gridCol w:w="164"/>
        <w:gridCol w:w="6530"/>
      </w:tblGrid>
      <w:tr w:rsidR="00ED2E48">
        <w:trPr>
          <w:trHeight w:val="307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Aspiračná</w:t>
            </w:r>
            <w:r>
              <w:t xml:space="preserve"> </w:t>
            </w:r>
            <w:r>
              <w:t>nebezpečnosť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Neklasifikovaný</w:t>
            </w:r>
            <w:r>
              <w:t xml:space="preserve"> </w:t>
            </w:r>
          </w:p>
        </w:tc>
      </w:tr>
      <w:tr w:rsidR="00ED2E48">
        <w:trPr>
          <w:trHeight w:val="297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>11.2. Informácie o inej nebezpečnosti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</w:tbl>
    <w:p w:rsidR="00ED2E48" w:rsidRDefault="009A7ED6">
      <w:pPr>
        <w:spacing w:after="848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spacing w:after="14" w:line="259" w:lineRule="auto"/>
        <w:ind w:left="0" w:firstLine="0"/>
      </w:pPr>
      <w:r>
        <w:rPr>
          <w:sz w:val="2"/>
        </w:rPr>
        <w:t xml:space="preserve"> </w:t>
      </w:r>
      <w:r>
        <w:rPr>
          <w:sz w:val="2"/>
        </w:rPr>
        <w:tab/>
        <w:t xml:space="preserve"> </w:t>
      </w:r>
      <w:r>
        <w:rPr>
          <w:sz w:val="2"/>
        </w:rPr>
        <w:tab/>
        <w:t xml:space="preserve"> </w:t>
      </w:r>
    </w:p>
    <w:p w:rsidR="00ED2E48" w:rsidRDefault="009A7ED6">
      <w:pPr>
        <w:spacing w:after="0" w:line="259" w:lineRule="auto"/>
        <w:ind w:left="0" w:right="-248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659881" cy="6350"/>
                <wp:effectExtent l="0" t="0" r="0" b="0"/>
                <wp:docPr id="66373" name="Group 66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1" cy="6350"/>
                          <a:chOff x="0" y="0"/>
                          <a:chExt cx="6659881" cy="6350"/>
                        </a:xfrm>
                      </wpg:grpSpPr>
                      <wps:wsp>
                        <wps:cNvPr id="4669" name="Shape 4669"/>
                        <wps:cNvSpPr/>
                        <wps:spPr>
                          <a:xfrm>
                            <a:off x="0" y="0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6373" style="width:524.4pt;height:0.5pt;mso-position-horizontal-relative:char;mso-position-vertical-relative:line" coordsize="66598,63">
                <v:shape id="Shape 4669" style="position:absolute;width:66598;height:0;left:0;top:0;" coordsize="6659881,0" path="m0,0l6659881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ED2E48" w:rsidRDefault="00ED2E48">
      <w:pPr>
        <w:sectPr w:rsidR="00ED2E48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footnotePr>
            <w:numRestart w:val="eachPage"/>
          </w:footnotePr>
          <w:pgSz w:w="11906" w:h="16838"/>
          <w:pgMar w:top="1690" w:right="3184" w:bottom="732" w:left="720" w:header="776" w:footer="732" w:gutter="0"/>
          <w:cols w:space="708"/>
          <w:titlePg/>
        </w:sectPr>
      </w:pPr>
    </w:p>
    <w:p w:rsidR="00ED2E48" w:rsidRDefault="009A7ED6">
      <w:pPr>
        <w:spacing w:after="346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-5841</wp:posOffset>
                </wp:positionV>
                <wp:extent cx="6659881" cy="6350"/>
                <wp:effectExtent l="0" t="0" r="0" b="0"/>
                <wp:wrapTopAndBottom/>
                <wp:docPr id="66803" name="Group 66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9881" cy="6350"/>
                          <a:chOff x="0" y="0"/>
                          <a:chExt cx="6659881" cy="6350"/>
                        </a:xfrm>
                      </wpg:grpSpPr>
                      <wps:wsp>
                        <wps:cNvPr id="5568" name="Shape 5568"/>
                        <wps:cNvSpPr/>
                        <wps:spPr>
                          <a:xfrm>
                            <a:off x="0" y="0"/>
                            <a:ext cx="66598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1">
                                <a:moveTo>
                                  <a:pt x="0" y="0"/>
                                </a:moveTo>
                                <a:lnTo>
                                  <a:pt x="6659881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66803" style="width:524.4pt;height:0.5pt;position:absolute;mso-position-horizontal-relative:margin;mso-position-horizontal:absolute;margin-left:0pt;mso-position-vertical-relative:text;margin-top:-0.459984pt;" coordsize="66598,63">
                <v:shape id="Shape 5568" style="position:absolute;width:66598;height:0;left:0;top:0;" coordsize="6659881,0" path="m0,0l6659881,0">
                  <v:stroke weight="0.5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sz w:val="2"/>
        </w:rPr>
        <w:t xml:space="preserve"> </w:t>
      </w:r>
    </w:p>
    <w:p w:rsidR="00ED2E48" w:rsidRDefault="009A7ED6">
      <w:pPr>
        <w:pStyle w:val="Nadpis1"/>
        <w:ind w:left="23"/>
      </w:pPr>
      <w:r>
        <w:t>ODDIEL 12: Ekologické informácie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 xml:space="preserve">12.1. </w:t>
      </w:r>
      <w:r>
        <w:t>Toxicita</w:t>
      </w:r>
      <w:r>
        <w:rPr>
          <w:color w:val="000000"/>
        </w:rPr>
        <w:t xml:space="preserve"> </w:t>
      </w:r>
    </w:p>
    <w:p w:rsidR="00ED2E48" w:rsidRDefault="009A7ED6">
      <w:pPr>
        <w:spacing w:after="239"/>
        <w:ind w:left="-5"/>
      </w:pPr>
      <w:r>
        <w:t>Ekológia - všeobecne</w:t>
      </w:r>
      <w:r>
        <w:t xml:space="preserve"> </w:t>
      </w:r>
    </w:p>
    <w:p w:rsidR="00ED2E48" w:rsidRDefault="009A7ED6">
      <w:pPr>
        <w:ind w:left="-5"/>
      </w:pPr>
      <w:r>
        <w:t>Nebezpečnosť</w:t>
      </w:r>
      <w:r>
        <w:t xml:space="preserve"> pre vodné prostredie, krátkodobá </w:t>
      </w:r>
    </w:p>
    <w:p w:rsidR="00ED2E48" w:rsidRDefault="009A7ED6">
      <w:pPr>
        <w:ind w:left="-5"/>
      </w:pPr>
      <w:r>
        <w:t>(akútna)</w:t>
      </w:r>
      <w:r>
        <w:t xml:space="preserve"> </w:t>
      </w:r>
    </w:p>
    <w:p w:rsidR="00ED2E48" w:rsidRDefault="009A7ED6">
      <w:pPr>
        <w:ind w:left="-5"/>
      </w:pPr>
      <w:r>
        <w:t>Nebezpečnosť</w:t>
      </w:r>
      <w:r>
        <w:t xml:space="preserve"> pre vodné prostredie, dlhodobá </w:t>
      </w:r>
    </w:p>
    <w:p w:rsidR="00ED2E48" w:rsidRDefault="009A7ED6">
      <w:pPr>
        <w:ind w:left="-5"/>
      </w:pPr>
      <w:r>
        <w:t>(chronická)</w:t>
      </w:r>
      <w:r>
        <w:t xml:space="preserve"> </w:t>
      </w:r>
    </w:p>
    <w:p w:rsidR="00ED2E48" w:rsidRDefault="009A7ED6">
      <w:pPr>
        <w:spacing w:after="0"/>
        <w:ind w:left="-5"/>
      </w:pPr>
      <w:r>
        <w:t xml:space="preserve">Nie je </w:t>
      </w:r>
      <w:r>
        <w:t>ľahko</w:t>
      </w:r>
      <w:r>
        <w:t xml:space="preserve"> </w:t>
      </w:r>
      <w:r>
        <w:t>rozložiteľná</w:t>
      </w:r>
      <w:r>
        <w:t xml:space="preserve"> </w:t>
      </w:r>
    </w:p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ind w:left="149" w:hanging="164"/>
      </w:pPr>
      <w:r>
        <w:t>:</w:t>
      </w:r>
      <w:r>
        <w:t xml:space="preserve"> </w:t>
      </w:r>
      <w:r>
        <w:t xml:space="preserve">Tento produkt sa nepovažuje za toxický pre vodné organizmy a nemá dlhodobé </w:t>
      </w:r>
      <w:r>
        <w:t xml:space="preserve">škodlivé </w:t>
      </w:r>
      <w:r>
        <w:t>účinky</w:t>
      </w:r>
      <w:r>
        <w:t xml:space="preserve"> v životnom prostredí.</w:t>
      </w:r>
      <w:r>
        <w:t xml:space="preserve"> </w:t>
      </w:r>
    </w:p>
    <w:p w:rsidR="00ED2E48" w:rsidRDefault="009A7ED6">
      <w:pPr>
        <w:spacing w:after="239"/>
        <w:ind w:left="-5"/>
      </w:pPr>
      <w:r>
        <w:t>:</w:t>
      </w:r>
      <w:r>
        <w:t xml:space="preserve"> </w:t>
      </w:r>
      <w:r>
        <w:t>Neklasifikovaný (Na základe dostupných údajov nie sú kritériá klasifikácie splnené)</w:t>
      </w:r>
      <w:r>
        <w:t xml:space="preserve"> </w:t>
      </w:r>
    </w:p>
    <w:p w:rsidR="00ED2E48" w:rsidRDefault="009A7ED6">
      <w:pPr>
        <w:ind w:left="-5"/>
      </w:pPr>
      <w:r>
        <w:t>:</w:t>
      </w:r>
      <w:r>
        <w:t xml:space="preserve"> </w:t>
      </w:r>
      <w:r>
        <w:t>Neklasifikovaný.</w:t>
      </w:r>
      <w:r>
        <w:t xml:space="preserve"> </w:t>
      </w:r>
    </w:p>
    <w:p w:rsidR="00ED2E48" w:rsidRDefault="00ED2E48">
      <w:pPr>
        <w:sectPr w:rsidR="00ED2E48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footnotePr>
            <w:numRestart w:val="eachPage"/>
          </w:footnotePr>
          <w:pgSz w:w="11906" w:h="16838"/>
          <w:pgMar w:top="1440" w:right="963" w:bottom="1440" w:left="720" w:header="776" w:footer="732" w:gutter="0"/>
          <w:cols w:num="2" w:space="708" w:equalWidth="0">
            <w:col w:w="3460" w:space="329"/>
            <w:col w:w="6433"/>
          </w:cols>
        </w:sectPr>
      </w:pP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LC50 - Ryby [1]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191 mg/l (96 h, Oncorhynchus mykiss, Fresh water, </w:t>
            </w:r>
            <w:r>
              <w:t>Experimental value, Nominal concentration)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EC50 - Kôrovce [1]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168,7 mg/l (EU Method C.2, 48 h, Daphnia magna, Static system, Fresh water,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Experimental value, Locomotor effect)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ErC50 riasy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&gt; 89 mg/l (72 h, Pseudokirchneriella subcapitata, Static </w:t>
            </w:r>
            <w:r>
              <w:t xml:space="preserve">system, Fresh water,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Experimental value, GLP)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NOEC chronické pre riasy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89 mg/l (72 h, Pseudokirchneriella subcapitata, Static system, Fresh water, Experimental value, GLP)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bis (2,2,6,6-tetrametyl-4-piperidyl) sebakát (52829-07-9)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LC50 - Ryby [1]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4,4 mg/l (OECD 203: Fish, Acute Toxicity Test, 96 h, Lepomis macrochirus, Flow-through system, Fresh water, Experimental value)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ErC50 riasy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0,705 mg/l (OECD 201: Alga, Growth Inhibition Test, 72 h, Pseudokirchneriella subcapitata, Static system, Fresh </w:t>
            </w:r>
            <w:r>
              <w:t>water, Experimental value, GLP)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NOEC chronické pre riasy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0,23 mg/l (OECD211, 21d, Daphnia Magna, experimental result)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86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N-(3-(trimetoxysilyl)propyl)etyléndiamín (1760-24-3)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LC50 - Ryby [1]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597 mg/l (EU Method C.1, 96 h, Danio rerio, Semi-static </w:t>
            </w:r>
            <w:r>
              <w:t xml:space="preserve">system, Fresh water,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Experimental value, GLP)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EC50 - Kôrovce [1]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81 mg/l (EU Method C.2, 48 h, Daphnia magna, Static system, Fresh water, Experimental value, Locomotor effect)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EC50 72h - Riasy [1]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126 mg/l Test organisms (species): Desmodesmus </w:t>
            </w:r>
            <w:r>
              <w:t xml:space="preserve">subspicatus (previous name: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Scenedesmus subspicatus)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ErC50 riasy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8,8 mg/l (OECD 201: Alga, Growth Inhibition Test, 72 h, Selenastrum capricornutum,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Static system, Fresh water, Experimental value, GLP)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NOEC chronické pre riasy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>3,1 mg/l (OECD 201: Al</w:t>
            </w:r>
            <w:r>
              <w:t xml:space="preserve">ga, Growth Inhibition Test, 72 h, Selenastrum capricornutum,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Static system, Fresh water, Experimental value, GLP)</w:t>
            </w:r>
            <w:r>
              <w:t xml:space="preserve"> </w:t>
            </w:r>
          </w:p>
        </w:tc>
      </w:tr>
    </w:tbl>
    <w:p w:rsidR="00ED2E48" w:rsidRDefault="009A7ED6">
      <w:pPr>
        <w:pStyle w:val="Nadpis2"/>
        <w:spacing w:after="0"/>
        <w:ind w:left="23"/>
      </w:pPr>
      <w:r>
        <w:t xml:space="preserve">12.2. Perzistencia a </w:t>
      </w:r>
      <w:r>
        <w:t>degradovateľnosť</w:t>
      </w:r>
      <w:r>
        <w:rPr>
          <w:color w:val="000000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7" w:type="dxa"/>
          <w:left w:w="0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56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64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doub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6" w:firstLine="0"/>
            </w:pPr>
            <w:r>
              <w:t xml:space="preserve">Perzistencia a </w:t>
            </w:r>
            <w:r>
              <w:t>degradovateľnosť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doub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7" w:firstLine="0"/>
            </w:pPr>
            <w:r>
              <w:t>ťažko</w:t>
            </w:r>
            <w:r>
              <w:t xml:space="preserve"> biologicky </w:t>
            </w:r>
            <w:r>
              <w:t>odstrániteľný</w:t>
            </w:r>
            <w:r>
              <w:t xml:space="preserve"> vo</w:t>
            </w:r>
            <w:r>
              <w:t xml:space="preserve"> vode.</w:t>
            </w:r>
            <w:r>
              <w:t xml:space="preserve"> </w:t>
            </w:r>
          </w:p>
        </w:tc>
      </w:tr>
      <w:tr w:rsidR="00ED2E48">
        <w:trPr>
          <w:trHeight w:val="386"/>
        </w:trPr>
        <w:tc>
          <w:tcPr>
            <w:tcW w:w="3968" w:type="dxa"/>
            <w:tcBorders>
              <w:top w:val="doub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  <w:vAlign w:val="center"/>
          </w:tcPr>
          <w:p w:rsidR="00ED2E48" w:rsidRDefault="009A7ED6">
            <w:pPr>
              <w:spacing w:after="0" w:line="259" w:lineRule="auto"/>
              <w:ind w:left="56" w:firstLine="0"/>
              <w:jc w:val="both"/>
            </w:pPr>
            <w:r>
              <w:rPr>
                <w:b/>
                <w:color w:val="0070C0"/>
                <w:sz w:val="18"/>
              </w:rPr>
              <w:t>bis (2,2,6,6-tetrametyl-4-piperidyl) sebakát (52</w:t>
            </w:r>
          </w:p>
        </w:tc>
        <w:tc>
          <w:tcPr>
            <w:tcW w:w="6519" w:type="dxa"/>
            <w:tcBorders>
              <w:top w:val="doub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  <w:vAlign w:val="center"/>
          </w:tcPr>
          <w:p w:rsidR="00ED2E48" w:rsidRDefault="009A7ED6">
            <w:pPr>
              <w:spacing w:after="0" w:line="259" w:lineRule="auto"/>
              <w:ind w:left="-11" w:firstLine="0"/>
            </w:pPr>
            <w:r>
              <w:rPr>
                <w:b/>
                <w:color w:val="0070C0"/>
                <w:sz w:val="18"/>
              </w:rPr>
              <w:t>829-07-9)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64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doub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6" w:firstLine="0"/>
            </w:pPr>
            <w:r>
              <w:t xml:space="preserve">Perzistencia a </w:t>
            </w:r>
            <w:r>
              <w:t>degradovateľnosť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doub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7" w:firstLine="0"/>
            </w:pPr>
            <w:r>
              <w:t>ťažko</w:t>
            </w:r>
            <w:r>
              <w:t xml:space="preserve"> biologicky </w:t>
            </w:r>
            <w:r>
              <w:t>odstrániteľný</w:t>
            </w:r>
            <w:r>
              <w:t xml:space="preserve"> vo vode.</w:t>
            </w:r>
            <w:r>
              <w:t xml:space="preserve"> </w:t>
            </w:r>
          </w:p>
        </w:tc>
      </w:tr>
      <w:tr w:rsidR="00ED2E48">
        <w:trPr>
          <w:trHeight w:val="386"/>
        </w:trPr>
        <w:tc>
          <w:tcPr>
            <w:tcW w:w="3968" w:type="dxa"/>
            <w:tcBorders>
              <w:top w:val="doub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  <w:vAlign w:val="center"/>
          </w:tcPr>
          <w:p w:rsidR="00ED2E48" w:rsidRDefault="009A7ED6">
            <w:pPr>
              <w:spacing w:after="0" w:line="259" w:lineRule="auto"/>
              <w:ind w:left="56" w:firstLine="0"/>
              <w:jc w:val="both"/>
            </w:pPr>
            <w:r>
              <w:rPr>
                <w:b/>
                <w:color w:val="0070C0"/>
                <w:sz w:val="18"/>
              </w:rPr>
              <w:t>N-(3-(trimetoxysilyl)propyl)etyléndiamín (1760</w:t>
            </w:r>
          </w:p>
        </w:tc>
        <w:tc>
          <w:tcPr>
            <w:tcW w:w="6519" w:type="dxa"/>
            <w:tcBorders>
              <w:top w:val="doub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  <w:vAlign w:val="center"/>
          </w:tcPr>
          <w:p w:rsidR="00ED2E48" w:rsidRDefault="009A7ED6">
            <w:pPr>
              <w:spacing w:after="0" w:line="259" w:lineRule="auto"/>
              <w:ind w:left="-1" w:firstLine="0"/>
            </w:pPr>
            <w:r>
              <w:rPr>
                <w:b/>
                <w:color w:val="0070C0"/>
                <w:sz w:val="18"/>
              </w:rPr>
              <w:t>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6" w:firstLine="0"/>
            </w:pPr>
            <w:r>
              <w:t xml:space="preserve">Perzistencia a </w:t>
            </w:r>
            <w:r>
              <w:t>degradovateľnosť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7" w:firstLine="0"/>
            </w:pPr>
            <w:r>
              <w:t>ťažko</w:t>
            </w:r>
            <w:r>
              <w:t xml:space="preserve"> biologicky </w:t>
            </w:r>
            <w:r>
              <w:t>odstrániteľný</w:t>
            </w:r>
            <w:r>
              <w:t xml:space="preserve"> vo vode.</w:t>
            </w:r>
            <w:r>
              <w:t xml:space="preserve"> </w:t>
            </w:r>
          </w:p>
        </w:tc>
      </w:tr>
    </w:tbl>
    <w:p w:rsidR="00ED2E48" w:rsidRDefault="009A7ED6">
      <w:pPr>
        <w:spacing w:after="212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spacing w:after="106" w:line="259" w:lineRule="auto"/>
        <w:ind w:left="-5"/>
      </w:pPr>
      <w:r>
        <w:rPr>
          <w:sz w:val="14"/>
        </w:rPr>
        <w:t>1.9.2021 (Dátum spracovania)</w:t>
      </w:r>
    </w:p>
    <w:p w:rsidR="00ED2E48" w:rsidRDefault="009A7ED6">
      <w:pPr>
        <w:pStyle w:val="Nadpis2"/>
        <w:spacing w:after="0"/>
        <w:ind w:left="23"/>
      </w:pPr>
      <w:r>
        <w:t xml:space="preserve">12.3. </w:t>
      </w:r>
      <w:r>
        <w:t>Bioakumulačný</w:t>
      </w:r>
      <w:r>
        <w:t xml:space="preserve"> potenciál</w:t>
      </w:r>
      <w:r>
        <w:rPr>
          <w:color w:val="000000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Rozdeľovací</w:t>
            </w:r>
            <w:r>
              <w:t xml:space="preserve"> koeficient n-oktanol/voda (Log Pow)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1,1 (QSAR, KOWWIN, 20 °C)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Bioakumulačný</w:t>
            </w:r>
            <w:r>
              <w:t xml:space="preserve"> potenciál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Nízky potenciál bioakumulácie </w:t>
            </w:r>
            <w:r>
              <w:t>(Log Kow &lt;4).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94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bis (2,2,6,6-tetrametyl-4-piperidyl) sebakát (52829-07-9)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Rozdeľovací</w:t>
            </w:r>
            <w:r>
              <w:t xml:space="preserve"> koeficient n-oktanol/voda (Log Pow)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0,35 (Experimental value, OECD 107: Partition Coefficient (n-octanol/water): Shake Flask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Method, 25 °C)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Bioakumulačný</w:t>
            </w:r>
            <w:r>
              <w:t xml:space="preserve"> </w:t>
            </w:r>
            <w:r>
              <w:t>potenciál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Nízky potenciál bioakumulácie (Log Kow &lt;4).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N-(3-(trimetoxysilyl)propyl)etyléndiamín (1760-24-3)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Rozdeľovací</w:t>
            </w:r>
            <w:r>
              <w:t xml:space="preserve"> koeficient n-oktanol/voda (Log Pow)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-0,3 (QSAR, 20 °C)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Bioakumulačný</w:t>
            </w:r>
            <w:r>
              <w:t xml:space="preserve"> potenciál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bez biokumulácie.</w:t>
            </w:r>
            <w:r>
              <w:t xml:space="preserve"> </w:t>
            </w:r>
          </w:p>
        </w:tc>
      </w:tr>
    </w:tbl>
    <w:p w:rsidR="00ED2E48" w:rsidRDefault="009A7ED6">
      <w:pPr>
        <w:pStyle w:val="Nadpis2"/>
        <w:spacing w:after="0"/>
        <w:ind w:left="23"/>
      </w:pPr>
      <w:r>
        <w:t>12.4. Mobilita v pôde</w:t>
      </w:r>
      <w:r>
        <w:rPr>
          <w:color w:val="000000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96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trimetoxyvinylsilán (2768-02-7)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 xml:space="preserve">Koeficient normalizovanej sorpcie organického uhlíka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(Log Koc)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2,811 (log Koc, SRC PCKOCWIN v2.0, Calculated value)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Ekológia - pôda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Nízky potenciál adsorpcie v pôde.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7" w:type="dxa"/>
          <w:left w:w="56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bis (2,2,6,6-tetrametyl-4-piperidyl) sebakát</w:t>
            </w:r>
            <w:r>
              <w:rPr>
                <w:b/>
                <w:color w:val="0070C0"/>
                <w:sz w:val="18"/>
              </w:rPr>
              <w:t xml:space="preserve"> (52829-07-9)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 xml:space="preserve">Koeficient normalizovanej sorpcie organického uhlíka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(Log Koc)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  <w:jc w:val="both"/>
            </w:pPr>
            <w:r>
              <w:t xml:space="preserve">2,89 – 4,2 (log Koc, OECD 106: Adsorption/Desorption Using a Batch Equilibrium Method,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Experimental value, GLP)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rPr>
          <w:sz w:val="2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7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10487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N-(3-(trimetoxysilyl)propyl)etyléndiamín (1760-24-3)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Ekológia - pôda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Produkt sa absorbuje do zeme.</w:t>
            </w:r>
            <w:r>
              <w:t xml:space="preserve"> </w:t>
            </w:r>
          </w:p>
        </w:tc>
      </w:tr>
    </w:tbl>
    <w:p w:rsidR="00ED2E48" w:rsidRDefault="009A7ED6">
      <w:pPr>
        <w:pStyle w:val="Nadpis2"/>
        <w:spacing w:after="0"/>
        <w:ind w:left="23"/>
      </w:pPr>
      <w:r>
        <w:t>12.5. Výsledky posúdenia PBT a vPvB</w:t>
      </w:r>
      <w:r>
        <w:rPr>
          <w:color w:val="000000"/>
        </w:rPr>
        <w:t xml:space="preserve"> </w:t>
      </w:r>
    </w:p>
    <w:tbl>
      <w:tblPr>
        <w:tblStyle w:val="TableGrid"/>
        <w:tblW w:w="10487" w:type="dxa"/>
        <w:tblInd w:w="6" w:type="dxa"/>
        <w:tblCellMar>
          <w:top w:w="96" w:type="dxa"/>
          <w:left w:w="56" w:type="dxa"/>
          <w:bottom w:w="0" w:type="dxa"/>
          <w:right w:w="88" w:type="dxa"/>
        </w:tblCellMar>
        <w:tblLook w:val="04A0" w:firstRow="1" w:lastRow="0" w:firstColumn="1" w:lastColumn="0" w:noHBand="0" w:noVBand="1"/>
      </w:tblPr>
      <w:tblGrid>
        <w:gridCol w:w="3968"/>
        <w:gridCol w:w="6519"/>
      </w:tblGrid>
      <w:tr w:rsidR="00ED2E48">
        <w:trPr>
          <w:trHeight w:val="370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Komponent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567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trimetoxyvinylsilán (2768-02-7)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PBT nariadenia REACH, Annex XIII.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vPvB nariadenia REACH, </w:t>
            </w:r>
            <w:r>
              <w:t>Annex XIII.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N-(3-(trimetoxysilyl)propyl)etyléndiamín (1760-24-3)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PBT nariadenia REACH, Annex XIII.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vPvB nariadenia REACH, Annex XIII.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396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>bis (2,2,6,6-tetrametyl-4-piperidyl) sebakát</w:t>
            </w:r>
            <w:r>
              <w:t xml:space="preserve"> (52829-07-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9)</w:t>
            </w:r>
            <w:r>
              <w:t xml:space="preserve"> </w:t>
            </w:r>
          </w:p>
        </w:tc>
        <w:tc>
          <w:tcPr>
            <w:tcW w:w="6519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PBT nariadenia REACH, Annex XIII.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Táto látka/zmes </w:t>
            </w:r>
            <w:r>
              <w:t>nespĺňa</w:t>
            </w:r>
            <w:r>
              <w:t xml:space="preserve"> kritériá vPvB nariadenia REACH, Annex XIII.</w:t>
            </w:r>
            <w:r>
              <w:t xml:space="preserve"> </w:t>
            </w:r>
          </w:p>
        </w:tc>
      </w:tr>
    </w:tbl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12.6. Vlastnosti endokrinných disruptorov (rozvracačov)</w:t>
      </w:r>
      <w:r>
        <w:rPr>
          <w:b/>
          <w:sz w:val="18"/>
        </w:rPr>
        <w:t xml:space="preserve"> </w:t>
      </w:r>
    </w:p>
    <w:p w:rsidR="00ED2E48" w:rsidRDefault="009A7ED6">
      <w:pPr>
        <w:spacing w:after="202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pStyle w:val="Nadpis2"/>
        <w:ind w:left="23"/>
      </w:pPr>
      <w:r>
        <w:t xml:space="preserve">12.7. Iné nepriaznivé </w:t>
      </w:r>
      <w:r>
        <w:t>účinky</w:t>
      </w:r>
      <w:r>
        <w:rPr>
          <w:color w:val="000000"/>
        </w:rPr>
        <w:t xml:space="preserve"> </w:t>
      </w:r>
    </w:p>
    <w:p w:rsidR="00ED2E48" w:rsidRDefault="009A7ED6">
      <w:pPr>
        <w:spacing w:after="194"/>
        <w:ind w:left="-5"/>
      </w:pPr>
      <w:r>
        <w:t xml:space="preserve">K dispozícii nie sú žiadne </w:t>
      </w:r>
      <w:r>
        <w:t>ďalšie</w:t>
      </w:r>
      <w:r>
        <w:t xml:space="preserve"> informácie</w:t>
      </w:r>
      <w:r>
        <w:t xml:space="preserve"> </w:t>
      </w:r>
    </w:p>
    <w:tbl>
      <w:tblPr>
        <w:tblStyle w:val="TableGrid"/>
        <w:tblW w:w="10506" w:type="dxa"/>
        <w:tblInd w:w="-6" w:type="dxa"/>
        <w:tblCellMar>
          <w:top w:w="9" w:type="dxa"/>
          <w:left w:w="0" w:type="dxa"/>
          <w:bottom w:w="35" w:type="dxa"/>
          <w:right w:w="19" w:type="dxa"/>
        </w:tblCellMar>
        <w:tblLook w:val="04A0" w:firstRow="1" w:lastRow="0" w:firstColumn="1" w:lastColumn="0" w:noHBand="0" w:noVBand="1"/>
      </w:tblPr>
      <w:tblGrid>
        <w:gridCol w:w="3812"/>
        <w:gridCol w:w="164"/>
        <w:gridCol w:w="6530"/>
      </w:tblGrid>
      <w:tr w:rsidR="00ED2E48">
        <w:trPr>
          <w:trHeight w:val="360"/>
        </w:trPr>
        <w:tc>
          <w:tcPr>
            <w:tcW w:w="105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2E74B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FFFFFF"/>
                <w:sz w:val="20"/>
              </w:rPr>
              <w:t>ODDIEL 13: Opatrenia pri zneškodňovaní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ED2E48">
        <w:trPr>
          <w:trHeight w:val="12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297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0070C0"/>
                <w:sz w:val="18"/>
              </w:rPr>
              <w:t>13.1. Metódy spracovania odpadu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6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CC2E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39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Regionálna legislatíva (odpady)</w:t>
            </w:r>
            <w:r>
              <w:t xml:space="preserve"> </w:t>
            </w:r>
          </w:p>
        </w:tc>
        <w:tc>
          <w:tcPr>
            <w:tcW w:w="6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  <w:r>
              <w:t xml:space="preserve">Nie sú </w:t>
            </w:r>
            <w:r>
              <w:t>nebezpečnými</w:t>
            </w:r>
            <w:r>
              <w:t xml:space="preserve"> odpadmi.</w:t>
            </w:r>
            <w:r>
              <w:t xml:space="preserve"> </w:t>
            </w:r>
          </w:p>
        </w:tc>
      </w:tr>
      <w:tr w:rsidR="00ED2E48">
        <w:trPr>
          <w:trHeight w:val="442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Metódy spracovania odpadu</w:t>
            </w:r>
            <w:r>
              <w:t xml:space="preserve"> </w:t>
            </w:r>
          </w:p>
        </w:tc>
        <w:tc>
          <w:tcPr>
            <w:tcW w:w="6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164" w:hanging="164"/>
            </w:pPr>
            <w:r>
              <w:t>:</w:t>
            </w:r>
            <w:r>
              <w:t xml:space="preserve"> </w:t>
            </w:r>
            <w:r>
              <w:t>Obsah</w:t>
            </w:r>
            <w:r>
              <w:t xml:space="preserve"> a nádobu zlikvidujte v súlade s pokynmi </w:t>
            </w:r>
            <w:r>
              <w:t>spoločnosti,</w:t>
            </w:r>
            <w:r>
              <w:t xml:space="preserve"> ktorá je oprávnená na triedenie </w:t>
            </w:r>
            <w:r>
              <w:t>nebezpečného</w:t>
            </w:r>
            <w:r>
              <w:t xml:space="preserve"> odpadu.</w:t>
            </w:r>
            <w:r>
              <w:t xml:space="preserve"> </w:t>
            </w:r>
          </w:p>
        </w:tc>
      </w:tr>
      <w:tr w:rsidR="00ED2E48">
        <w:trPr>
          <w:trHeight w:val="552"/>
        </w:trPr>
        <w:tc>
          <w:tcPr>
            <w:tcW w:w="1050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D2E48" w:rsidRDefault="009A7ED6">
            <w:pPr>
              <w:tabs>
                <w:tab w:val="center" w:pos="5846"/>
              </w:tabs>
              <w:spacing w:after="165" w:line="259" w:lineRule="auto"/>
              <w:ind w:left="0" w:firstLine="0"/>
            </w:pPr>
            <w:r>
              <w:t>Odporúčania</w:t>
            </w:r>
            <w:r>
              <w:t xml:space="preserve"> na likvidáciu odpadových vôd</w:t>
            </w:r>
            <w:r>
              <w:t xml:space="preserve"> </w:t>
            </w:r>
            <w:r>
              <w:tab/>
            </w:r>
            <w:r>
              <w:t>:</w:t>
            </w:r>
            <w:r>
              <w:t xml:space="preserve"> </w:t>
            </w:r>
            <w:r>
              <w:t>Nevyhadzujte do odtoku alebo do životného prostredia.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6" w:firstLine="0"/>
            </w:pPr>
            <w:r>
              <w:rPr>
                <w:sz w:val="2"/>
              </w:rPr>
              <w:t xml:space="preserve"> </w:t>
            </w:r>
            <w:r>
              <w:rPr>
                <w:sz w:val="2"/>
              </w:rPr>
              <w:tab/>
              <w:t xml:space="preserve"> </w:t>
            </w:r>
            <w:r>
              <w:rPr>
                <w:sz w:val="2"/>
              </w:rPr>
              <w:tab/>
              <w:t xml:space="preserve"> </w:t>
            </w:r>
          </w:p>
        </w:tc>
      </w:tr>
      <w:tr w:rsidR="00ED2E48">
        <w:trPr>
          <w:trHeight w:val="361"/>
        </w:trPr>
        <w:tc>
          <w:tcPr>
            <w:tcW w:w="38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ED2E48" w:rsidRDefault="009A7ED6">
            <w:pPr>
              <w:spacing w:after="243" w:line="259" w:lineRule="auto"/>
              <w:ind w:left="6" w:firstLine="0"/>
            </w:pPr>
            <w:r>
              <w:rPr>
                <w:sz w:val="2"/>
              </w:rPr>
              <w:t xml:space="preserve"> </w:t>
            </w:r>
          </w:p>
          <w:p w:rsidR="00ED2E48" w:rsidRDefault="009A7ED6">
            <w:pPr>
              <w:spacing w:after="0" w:line="259" w:lineRule="auto"/>
              <w:ind w:left="6" w:firstLine="0"/>
            </w:pPr>
            <w:r>
              <w:t>Ekológia - odpadové materiály</w:t>
            </w:r>
            <w:r>
              <w:t xml:space="preserve"> </w:t>
            </w:r>
          </w:p>
        </w:tc>
        <w:tc>
          <w:tcPr>
            <w:tcW w:w="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Zabráňte</w:t>
            </w:r>
            <w:r>
              <w:t xml:space="preserve"> </w:t>
            </w:r>
            <w:r>
              <w:t>uvoľneniu</w:t>
            </w:r>
            <w:r>
              <w:t xml:space="preserve"> do životného prostredia.</w:t>
            </w:r>
            <w:r>
              <w:t xml:space="preserve"> </w:t>
            </w:r>
          </w:p>
        </w:tc>
      </w:tr>
      <w:tr w:rsidR="00ED2E48">
        <w:trPr>
          <w:trHeight w:val="803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6" w:firstLine="0"/>
            </w:pPr>
            <w:r>
              <w:t>Európsky katalógový kód pre odpady (CED)</w:t>
            </w:r>
            <w: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:</w:t>
            </w:r>
            <w:r>
              <w:t xml:space="preserve">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>08 04 10 - iné odpadové lepidlá a tesniace materiály než uvedené v 08 04 09</w:t>
            </w:r>
            <w:r>
              <w:t xml:space="preserve">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15 01 02 - obaly z plastov</w:t>
            </w:r>
            <w:r>
              <w:t xml:space="preserve"> </w:t>
            </w:r>
          </w:p>
        </w:tc>
      </w:tr>
      <w:tr w:rsidR="00ED2E48">
        <w:trPr>
          <w:trHeight w:val="360"/>
        </w:trPr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clear" w:color="auto" w:fill="2E74B5"/>
          </w:tcPr>
          <w:p w:rsidR="00ED2E48" w:rsidRDefault="009A7ED6">
            <w:pPr>
              <w:spacing w:after="0" w:line="259" w:lineRule="auto"/>
              <w:ind w:left="34" w:firstLine="0"/>
            </w:pPr>
            <w:r>
              <w:rPr>
                <w:b/>
                <w:color w:val="FFFFFF"/>
                <w:sz w:val="20"/>
              </w:rPr>
              <w:t>ODDIEL 14: Informácie o doprave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64" w:type="dxa"/>
            <w:tcBorders>
              <w:top w:val="nil"/>
              <w:left w:val="nil"/>
              <w:bottom w:val="nil"/>
              <w:right w:val="nil"/>
            </w:tcBorders>
            <w:shd w:val="clear" w:color="auto" w:fill="2E74B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shd w:val="clear" w:color="auto" w:fill="2E74B5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</w:tbl>
    <w:p w:rsidR="00ED2E48" w:rsidRDefault="009A7ED6">
      <w:pPr>
        <w:ind w:left="-5"/>
      </w:pPr>
      <w:r>
        <w:t>V súlade s ADR / IMDG /</w:t>
      </w:r>
      <w:r>
        <w:t xml:space="preserve"> IATA / ADN / RID /</w:t>
      </w:r>
      <w:r>
        <w:t xml:space="preserve"> 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097"/>
        <w:gridCol w:w="2098"/>
        <w:gridCol w:w="534"/>
        <w:gridCol w:w="1564"/>
        <w:gridCol w:w="2098"/>
        <w:gridCol w:w="2097"/>
      </w:tblGrid>
      <w:tr w:rsidR="00ED2E48">
        <w:trPr>
          <w:trHeight w:val="370"/>
        </w:trPr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58" w:firstLine="0"/>
              <w:jc w:val="center"/>
            </w:pPr>
            <w:r>
              <w:rPr>
                <w:b/>
                <w:sz w:val="18"/>
              </w:rPr>
              <w:t>ADR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18"/>
              </w:rPr>
              <w:t>IMDG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5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249" w:firstLine="0"/>
            </w:pPr>
            <w:r>
              <w:rPr>
                <w:b/>
                <w:sz w:val="18"/>
              </w:rPr>
              <w:t>IATA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rPr>
                <w:b/>
                <w:sz w:val="18"/>
              </w:rPr>
              <w:t>ADN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61" w:firstLine="0"/>
              <w:jc w:val="center"/>
            </w:pPr>
            <w:r>
              <w:rPr>
                <w:b/>
                <w:sz w:val="18"/>
              </w:rPr>
              <w:t>RID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74"/>
        </w:trPr>
        <w:tc>
          <w:tcPr>
            <w:tcW w:w="4729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vAlign w:val="center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14.1. Číslo OSN alebo identifikačné číslo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7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8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61" w:firstLine="0"/>
              <w:jc w:val="center"/>
            </w:pPr>
            <w:r>
              <w:t>Nenariadené</w:t>
            </w:r>
            <w:r>
              <w:t xml:space="preserve"> </w:t>
            </w:r>
          </w:p>
        </w:tc>
      </w:tr>
      <w:tr w:rsidR="00ED2E48">
        <w:trPr>
          <w:trHeight w:val="372"/>
        </w:trPr>
        <w:tc>
          <w:tcPr>
            <w:tcW w:w="4729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14.2. Správne expedičné označenie OSN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7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8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61" w:firstLine="0"/>
              <w:jc w:val="center"/>
            </w:pPr>
            <w:r>
              <w:t>Nenariadené</w:t>
            </w:r>
            <w:r>
              <w:t xml:space="preserve"> </w:t>
            </w:r>
          </w:p>
        </w:tc>
      </w:tr>
      <w:tr w:rsidR="00ED2E48">
        <w:trPr>
          <w:trHeight w:val="372"/>
        </w:trPr>
        <w:tc>
          <w:tcPr>
            <w:tcW w:w="4729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14.3. Trieda, resp. triedy nebezpečnosti pre dopravu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7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8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61" w:firstLine="0"/>
              <w:jc w:val="center"/>
            </w:pPr>
            <w:r>
              <w:t>Nenariadené</w:t>
            </w:r>
            <w:r>
              <w:t xml:space="preserve"> </w:t>
            </w:r>
          </w:p>
        </w:tc>
      </w:tr>
      <w:tr w:rsidR="00ED2E48">
        <w:trPr>
          <w:trHeight w:val="372"/>
        </w:trPr>
        <w:tc>
          <w:tcPr>
            <w:tcW w:w="4729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14.4. Obalová skupina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7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8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61" w:firstLine="0"/>
              <w:jc w:val="center"/>
            </w:pPr>
            <w:r>
              <w:t>Nenariadené</w:t>
            </w:r>
            <w:r>
              <w:t xml:space="preserve"> </w:t>
            </w:r>
          </w:p>
        </w:tc>
      </w:tr>
      <w:tr w:rsidR="00ED2E48">
        <w:trPr>
          <w:trHeight w:val="372"/>
        </w:trPr>
        <w:tc>
          <w:tcPr>
            <w:tcW w:w="4729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 xml:space="preserve">14.5. </w:t>
            </w:r>
            <w:r>
              <w:rPr>
                <w:b/>
                <w:color w:val="0070C0"/>
                <w:sz w:val="18"/>
              </w:rPr>
              <w:t>Nebezpečnosť pre životné prostredie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7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5"/>
        </w:trPr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8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534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Nenariadené</w:t>
            </w:r>
            <w:r>
              <w:t xml:space="preserve"> </w:t>
            </w:r>
          </w:p>
        </w:tc>
        <w:tc>
          <w:tcPr>
            <w:tcW w:w="2098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59" w:firstLine="0"/>
              <w:jc w:val="center"/>
            </w:pPr>
            <w:r>
              <w:t>Nenariadené</w:t>
            </w:r>
            <w:r>
              <w:t xml:space="preserve"> </w:t>
            </w:r>
          </w:p>
        </w:tc>
        <w:tc>
          <w:tcPr>
            <w:tcW w:w="2097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61" w:firstLine="0"/>
              <w:jc w:val="center"/>
            </w:pPr>
            <w:r>
              <w:t>Nenariadené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4729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Žiadne </w:t>
            </w:r>
            <w:r>
              <w:t>ďalšie</w:t>
            </w:r>
            <w:r>
              <w:t xml:space="preserve"> dostupné informácie</w:t>
            </w:r>
            <w:r>
              <w:t xml:space="preserve"> </w:t>
            </w:r>
          </w:p>
        </w:tc>
        <w:tc>
          <w:tcPr>
            <w:tcW w:w="1564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8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2097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</w:tbl>
    <w:p w:rsidR="00ED2E48" w:rsidRDefault="009A7ED6">
      <w:pPr>
        <w:pStyle w:val="Nadpis2"/>
        <w:spacing w:after="170"/>
        <w:ind w:left="23"/>
      </w:pPr>
      <w:r>
        <w:t xml:space="preserve">14.6. Osobitné </w:t>
      </w:r>
      <w:r>
        <w:t>bezpečnostné</w:t>
      </w:r>
      <w:r>
        <w:t xml:space="preserve"> opatrenia pre </w:t>
      </w:r>
      <w:r>
        <w:t>užívateľa</w:t>
      </w:r>
      <w:r>
        <w:rPr>
          <w:color w:val="000000"/>
        </w:rP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Pozemná doprava</w:t>
      </w:r>
      <w:r>
        <w:rPr>
          <w:b/>
        </w:rPr>
        <w:t xml:space="preserve"> </w:t>
      </w:r>
    </w:p>
    <w:p w:rsidR="00ED2E48" w:rsidRDefault="009A7ED6">
      <w:pPr>
        <w:ind w:left="-5"/>
      </w:pPr>
      <w:r>
        <w:t>Nenariadené</w:t>
      </w:r>
      <w:r>
        <w:t xml:space="preserve"> </w:t>
      </w:r>
    </w:p>
    <w:p w:rsidR="00ED2E48" w:rsidRDefault="009A7ED6">
      <w:pPr>
        <w:spacing w:after="62" w:line="259" w:lineRule="auto"/>
        <w:ind w:left="0" w:firstLine="0"/>
      </w:pPr>
      <w: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Lodná doprava</w:t>
      </w:r>
      <w:r>
        <w:rPr>
          <w:b/>
        </w:rPr>
        <w:t xml:space="preserve"> </w:t>
      </w:r>
    </w:p>
    <w:p w:rsidR="00ED2E48" w:rsidRDefault="009A7ED6">
      <w:pPr>
        <w:ind w:left="-5"/>
      </w:pPr>
      <w:r>
        <w:t>Nenariadené</w:t>
      </w:r>
      <w:r>
        <w:t xml:space="preserve"> </w:t>
      </w:r>
    </w:p>
    <w:p w:rsidR="00ED2E48" w:rsidRDefault="009A7ED6">
      <w:pPr>
        <w:spacing w:after="62" w:line="259" w:lineRule="auto"/>
        <w:ind w:left="0" w:firstLine="0"/>
      </w:pPr>
      <w: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Letecká preprava</w:t>
      </w:r>
      <w:r>
        <w:rPr>
          <w:b/>
        </w:rPr>
        <w:t xml:space="preserve"> </w:t>
      </w:r>
    </w:p>
    <w:p w:rsidR="00ED2E48" w:rsidRDefault="009A7ED6">
      <w:pPr>
        <w:ind w:left="-5"/>
      </w:pPr>
      <w:r>
        <w:t>Nenariadené</w:t>
      </w:r>
      <w:r>
        <w:t xml:space="preserve"> </w:t>
      </w:r>
    </w:p>
    <w:p w:rsidR="00ED2E48" w:rsidRDefault="009A7ED6">
      <w:pPr>
        <w:spacing w:after="62" w:line="259" w:lineRule="auto"/>
        <w:ind w:left="0" w:firstLine="0"/>
      </w:pPr>
      <w:r>
        <w:t xml:space="preserve"> </w:t>
      </w:r>
    </w:p>
    <w:p w:rsidR="00ED2E48" w:rsidRDefault="009A7ED6">
      <w:pPr>
        <w:spacing w:after="22" w:line="259" w:lineRule="auto"/>
        <w:ind w:left="-5" w:right="3121"/>
      </w:pPr>
      <w:r>
        <w:rPr>
          <w:b/>
        </w:rPr>
        <w:t>Vnútrozemská preprava</w:t>
      </w:r>
      <w:r>
        <w:rPr>
          <w:b/>
        </w:rPr>
        <w:t xml:space="preserve"> </w:t>
      </w:r>
    </w:p>
    <w:p w:rsidR="00ED2E48" w:rsidRDefault="009A7ED6">
      <w:pPr>
        <w:ind w:left="-5"/>
      </w:pPr>
      <w:r>
        <w:t>Nenariadené</w:t>
      </w:r>
      <w:r>
        <w:t xml:space="preserve"> </w:t>
      </w:r>
    </w:p>
    <w:p w:rsidR="00ED2E48" w:rsidRDefault="009A7ED6">
      <w:pPr>
        <w:spacing w:after="62" w:line="259" w:lineRule="auto"/>
        <w:ind w:left="0" w:firstLine="0"/>
      </w:pPr>
      <w:r>
        <w:t xml:space="preserve"> </w:t>
      </w:r>
    </w:p>
    <w:p w:rsidR="00ED2E48" w:rsidRDefault="009A7ED6">
      <w:pPr>
        <w:spacing w:after="22" w:line="259" w:lineRule="auto"/>
        <w:ind w:left="0" w:firstLine="0"/>
      </w:pPr>
      <w:r>
        <w:rPr>
          <w:b/>
        </w:rPr>
        <w:t>Železničná doprava</w:t>
      </w:r>
      <w:r>
        <w:rPr>
          <w:b/>
        </w:rPr>
        <w:t xml:space="preserve"> </w:t>
      </w:r>
    </w:p>
    <w:p w:rsidR="00ED2E48" w:rsidRDefault="009A7ED6">
      <w:pPr>
        <w:spacing w:after="202"/>
        <w:ind w:left="-5"/>
      </w:pPr>
      <w:r>
        <w:t>Nenariadené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14.7. Námorná preprava hromadného nákladu podľa nástrojov IMO</w:t>
      </w:r>
      <w:r>
        <w:rPr>
          <w:b/>
          <w:sz w:val="18"/>
        </w:rPr>
        <w:t xml:space="preserve"> </w:t>
      </w:r>
    </w:p>
    <w:p w:rsidR="00ED2E48" w:rsidRDefault="009A7ED6">
      <w:pPr>
        <w:spacing w:after="481"/>
        <w:ind w:left="-5"/>
      </w:pPr>
      <w:r>
        <w:t>Neuplatňuje</w:t>
      </w:r>
      <w:r>
        <w:t xml:space="preserve"> sa</w:t>
      </w:r>
      <w:r>
        <w:t xml:space="preserve"> </w:t>
      </w:r>
    </w:p>
    <w:p w:rsidR="00ED2E48" w:rsidRDefault="009A7ED6">
      <w:pPr>
        <w:pStyle w:val="Nadpis1"/>
        <w:ind w:left="23"/>
      </w:pPr>
      <w:r>
        <w:t xml:space="preserve">ODDIEL 15: </w:t>
      </w:r>
      <w:r>
        <w:t>Regulačné</w:t>
      </w:r>
      <w:r>
        <w:t xml:space="preserve"> informácie</w:t>
      </w:r>
      <w:r>
        <w:rPr>
          <w:color w:val="000000"/>
        </w:rPr>
        <w:t xml:space="preserve"> </w:t>
      </w:r>
    </w:p>
    <w:p w:rsidR="00ED2E48" w:rsidRDefault="009A7ED6">
      <w:pPr>
        <w:pStyle w:val="Nadpis2"/>
        <w:ind w:left="23"/>
      </w:pPr>
      <w:r>
        <w:t xml:space="preserve">15.1. Nariadenia/právne </w:t>
      </w:r>
      <w:r>
        <w:t xml:space="preserve">predpisy špecifické pre látku alebo zmes v oblasti </w:t>
      </w:r>
      <w:r>
        <w:t>bezpečnosti,</w:t>
      </w:r>
      <w:r>
        <w:t xml:space="preserve"> zdravia a životného prostredia</w:t>
      </w:r>
      <w:r>
        <w:rPr>
          <w:color w:val="000000"/>
        </w:rPr>
        <w:t xml:space="preserve"> </w:t>
      </w:r>
    </w:p>
    <w:p w:rsidR="00ED2E48" w:rsidRDefault="009A7ED6">
      <w:pPr>
        <w:spacing w:after="0" w:line="259" w:lineRule="auto"/>
        <w:ind w:left="-5"/>
      </w:pPr>
      <w:r>
        <w:rPr>
          <w:b/>
          <w:color w:val="0070C0"/>
        </w:rPr>
        <w:t>15.1.1. EU-predpisy</w:t>
      </w:r>
      <w:r>
        <w:rPr>
          <w:b/>
        </w:rPr>
        <w:t xml:space="preserve"> 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83"/>
        <w:gridCol w:w="1985"/>
        <w:gridCol w:w="6520"/>
      </w:tblGrid>
      <w:tr w:rsidR="00ED2E48">
        <w:trPr>
          <w:trHeight w:val="371"/>
        </w:trPr>
        <w:tc>
          <w:tcPr>
            <w:tcW w:w="10488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Zoznam obmedzení EÚ (REACH, príloha XVII)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4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Referenčný kód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</w:rPr>
              <w:t>Použiteľné pre</w:t>
            </w:r>
            <w:r>
              <w:rPr>
                <w:b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</w:rPr>
              <w:t>Názov alebo opis záznamu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1008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3(a)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trimetoxyvinylsilán</w:t>
            </w:r>
            <w: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88" w:lineRule="auto"/>
              <w:ind w:left="1" w:firstLine="0"/>
            </w:pPr>
            <w:r>
              <w:t xml:space="preserve">Látky </w:t>
            </w:r>
            <w:r>
              <w:t xml:space="preserve">alebo zmesi </w:t>
            </w:r>
            <w:r>
              <w:t>spĺňajúce</w:t>
            </w:r>
            <w:r>
              <w:t xml:space="preserve"> kritériá </w:t>
            </w:r>
            <w:r>
              <w:t>ktorejkoľvek</w:t>
            </w:r>
            <w:r>
              <w:t xml:space="preserve"> z týchto tried alebo kategórií </w:t>
            </w:r>
            <w:r>
              <w:t>nebezpečnosti</w:t>
            </w:r>
            <w:r>
              <w:t xml:space="preserve"> stanovených v prílohe I k nariadeniu (ES) </w:t>
            </w:r>
            <w:r>
              <w:t>č.</w:t>
            </w:r>
            <w:r>
              <w:t xml:space="preserve"> 1272/2008: Triedy </w:t>
            </w:r>
            <w:r>
              <w:t>nebezpečnosti</w:t>
            </w:r>
            <w:r>
              <w:t xml:space="preserve"> 2.1 až 2.4, 2.6 a 2.7, 2.8 typy A a B, 2.9, 2.10, 2.12, 2.13 kategórie 1 a 2,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2.14 kategó</w:t>
            </w:r>
            <w:r>
              <w:t>rie 1 a 2, 2.15 typy A až F</w:t>
            </w:r>
            <w:r>
              <w:t xml:space="preserve"> </w:t>
            </w:r>
          </w:p>
        </w:tc>
      </w:tr>
    </w:tbl>
    <w:p w:rsidR="00ED2E48" w:rsidRDefault="009A7ED6">
      <w:pPr>
        <w:spacing w:after="212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pStyle w:val="Nadpis3"/>
        <w:ind w:left="-5"/>
      </w:pPr>
      <w:r>
        <w:t>1.9.2021 (Dátum spracovania)</w:t>
      </w:r>
    </w:p>
    <w:p w:rsidR="00ED2E48" w:rsidRDefault="00ED2E48">
      <w:pPr>
        <w:sectPr w:rsidR="00ED2E48">
          <w:footnotePr>
            <w:numRestart w:val="eachPage"/>
          </w:footnotePr>
          <w:type w:val="continuous"/>
          <w:pgSz w:w="11906" w:h="16838"/>
          <w:pgMar w:top="1690" w:right="1045" w:bottom="732" w:left="720" w:header="708" w:footer="708" w:gutter="0"/>
          <w:cols w:space="708"/>
        </w:sectPr>
      </w:pPr>
    </w:p>
    <w:p w:rsidR="00ED2E48" w:rsidRDefault="009A7ED6">
      <w:pPr>
        <w:spacing w:after="22" w:line="259" w:lineRule="auto"/>
        <w:ind w:left="0" w:firstLine="0"/>
      </w:pPr>
      <w:r>
        <w:t xml:space="preserve"> </w:t>
      </w:r>
    </w:p>
    <w:p w:rsidR="00ED2E48" w:rsidRDefault="009A7ED6">
      <w:pPr>
        <w:ind w:left="-5"/>
      </w:pPr>
      <w:r>
        <w:t>Neobsahuje látky z REACH</w:t>
      </w:r>
      <w:r>
        <w:t xml:space="preserve"> </w:t>
      </w:r>
    </w:p>
    <w:p w:rsidR="00ED2E48" w:rsidRDefault="009A7ED6">
      <w:pPr>
        <w:ind w:left="-5"/>
      </w:pPr>
      <w:r>
        <w:t>Neobsahuje žiadne látky uvedené v prílohe XIV REACH</w:t>
      </w:r>
      <w:r>
        <w:t xml:space="preserve"> </w:t>
      </w:r>
    </w:p>
    <w:p w:rsidR="00ED2E48" w:rsidRDefault="009A7ED6">
      <w:pPr>
        <w:spacing w:after="22" w:line="259" w:lineRule="auto"/>
        <w:ind w:left="0" w:firstLine="0"/>
      </w:pPr>
      <w:r>
        <w:t xml:space="preserve"> </w:t>
      </w:r>
    </w:p>
    <w:p w:rsidR="00ED2E48" w:rsidRDefault="009A7ED6">
      <w:pPr>
        <w:ind w:left="-5"/>
      </w:pPr>
      <w:r>
        <w:t xml:space="preserve">Neobsahuje žiadne látky, ktoré podliehajú Nariadeniu (EÚ) </w:t>
      </w:r>
      <w:r>
        <w:t>č.</w:t>
      </w:r>
      <w:r>
        <w:t xml:space="preserve"> 649/2012 Európskeho parlamentu a </w:t>
      </w:r>
      <w:r>
        <w:t xml:space="preserve">Komisie zo </w:t>
      </w:r>
      <w:r>
        <w:t>dňa</w:t>
      </w:r>
      <w:r>
        <w:t xml:space="preserve"> 4. júla 2012, ktoré sa týka vývozu a dovozu </w:t>
      </w:r>
      <w:r>
        <w:t>nebezpečných</w:t>
      </w:r>
      <w:r>
        <w:t xml:space="preserve"> chemických látok.</w:t>
      </w:r>
      <w:r>
        <w:t xml:space="preserve"> </w:t>
      </w:r>
    </w:p>
    <w:p w:rsidR="00ED2E48" w:rsidRDefault="009A7ED6">
      <w:pPr>
        <w:ind w:left="-5"/>
      </w:pPr>
      <w:r>
        <w:t>Neobsahuje žiadne látky, ktorá podlieha Nariadenie Európskeho parlamentu a Rady (EÚ) 2019/1021 z 20. júna 2019 o perzistentných organických látkach</w:t>
      </w:r>
      <w:r>
        <w:t xml:space="preserve"> </w:t>
      </w:r>
    </w:p>
    <w:p w:rsidR="00ED2E48" w:rsidRDefault="009A7ED6">
      <w:pPr>
        <w:spacing w:after="22" w:line="259" w:lineRule="auto"/>
        <w:ind w:left="0" w:firstLine="0"/>
      </w:pPr>
      <w:r>
        <w:t xml:space="preserve"> </w:t>
      </w:r>
    </w:p>
    <w:p w:rsidR="00ED2E48" w:rsidRDefault="009A7ED6">
      <w:pPr>
        <w:ind w:left="-5"/>
      </w:pPr>
      <w:r>
        <w:t>Neobsahujte ži</w:t>
      </w:r>
      <w:r>
        <w:t xml:space="preserve">adnu látku, ktorá podlieha nariadeniu o uvádzaní na trh a používaní výbušných prekurzorov (EÚ) </w:t>
      </w:r>
      <w:r>
        <w:t>č.</w:t>
      </w:r>
      <w:r>
        <w:t xml:space="preserve"> 2019/1148 Európskeho parlamentu a Rade vydaného </w:t>
      </w:r>
      <w:r>
        <w:t>dňa</w:t>
      </w:r>
      <w:r>
        <w:t xml:space="preserve"> 20. Júna 2019.</w:t>
      </w:r>
      <w:r>
        <w:t xml:space="preserve"> </w:t>
      </w:r>
    </w:p>
    <w:p w:rsidR="00ED2E48" w:rsidRDefault="009A7ED6">
      <w:pPr>
        <w:spacing w:after="36" w:line="259" w:lineRule="auto"/>
        <w:ind w:left="0" w:firstLine="0"/>
      </w:pPr>
      <w:r>
        <w:t xml:space="preserve"> </w:t>
      </w:r>
    </w:p>
    <w:p w:rsidR="00ED2E48" w:rsidRDefault="009A7ED6">
      <w:pPr>
        <w:tabs>
          <w:tab w:val="center" w:pos="4635"/>
        </w:tabs>
        <w:spacing w:after="143"/>
        <w:ind w:left="-15" w:firstLine="0"/>
      </w:pPr>
      <w:r>
        <w:t>Koncentrácia VOC</w:t>
      </w:r>
      <w:r>
        <w:t xml:space="preserve"> </w:t>
      </w:r>
      <w:r>
        <w:tab/>
      </w:r>
      <w:r>
        <w:t>:</w:t>
      </w:r>
      <w:r>
        <w:t xml:space="preserve"> </w:t>
      </w:r>
      <w:r>
        <w:t>&lt; 4,66 % (&lt;71.72 g/l)</w:t>
      </w:r>
      <w:r>
        <w:t xml:space="preserve"> </w:t>
      </w:r>
    </w:p>
    <w:p w:rsidR="00ED2E48" w:rsidRDefault="009A7ED6">
      <w:pPr>
        <w:spacing w:after="82" w:line="259" w:lineRule="auto"/>
        <w:ind w:left="-5"/>
      </w:pPr>
      <w:r>
        <w:rPr>
          <w:b/>
          <w:color w:val="0070C0"/>
        </w:rPr>
        <w:t>15.1.2. Národné predpisy</w:t>
      </w:r>
      <w:r>
        <w:rPr>
          <w:b/>
        </w:rPr>
        <w:t xml:space="preserve"> </w:t>
      </w:r>
    </w:p>
    <w:p w:rsidR="00ED2E48" w:rsidRDefault="009A7ED6">
      <w:pPr>
        <w:spacing w:after="202"/>
        <w:ind w:left="-5"/>
      </w:pPr>
      <w:r>
        <w:t>K dispozícii nie sú</w:t>
      </w:r>
      <w:r>
        <w:t xml:space="preserve"> žiadne </w:t>
      </w:r>
      <w:r>
        <w:t>ďalšie</w:t>
      </w:r>
      <w:r>
        <w:t xml:space="preserve"> informácie</w:t>
      </w:r>
      <w:r>
        <w:t xml:space="preserve"> </w:t>
      </w:r>
    </w:p>
    <w:p w:rsidR="00ED2E48" w:rsidRDefault="009A7ED6">
      <w:pPr>
        <w:shd w:val="clear" w:color="auto" w:fill="9CC2E5"/>
        <w:spacing w:after="130" w:line="259" w:lineRule="auto"/>
        <w:ind w:left="23"/>
      </w:pPr>
      <w:r>
        <w:rPr>
          <w:b/>
          <w:color w:val="0070C0"/>
          <w:sz w:val="18"/>
        </w:rPr>
        <w:t>15.2. Hodnotenie chemickej bezpečnosti</w:t>
      </w:r>
      <w:r>
        <w:rPr>
          <w:b/>
          <w:sz w:val="18"/>
        </w:rPr>
        <w:t xml:space="preserve"> </w:t>
      </w:r>
    </w:p>
    <w:p w:rsidR="00ED2E48" w:rsidRDefault="009A7ED6">
      <w:pPr>
        <w:spacing w:after="481"/>
        <w:ind w:left="-5"/>
      </w:pPr>
      <w:r>
        <w:t xml:space="preserve">Nebolo vykonané vyhodnotenie chemickej </w:t>
      </w:r>
      <w:r>
        <w:t>bezpečnosti</w:t>
      </w:r>
      <w:r>
        <w:t xml:space="preserve"> </w:t>
      </w:r>
    </w:p>
    <w:tbl>
      <w:tblPr>
        <w:tblStyle w:val="TableGrid"/>
        <w:tblpPr w:vertAnchor="page" w:horzAnchor="page" w:tblpX="726" w:tblpY="1838"/>
        <w:tblOverlap w:val="never"/>
        <w:tblW w:w="10488" w:type="dxa"/>
        <w:tblInd w:w="0" w:type="dxa"/>
        <w:tblCellMar>
          <w:top w:w="96" w:type="dxa"/>
          <w:left w:w="56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1983"/>
        <w:gridCol w:w="1985"/>
        <w:gridCol w:w="6520"/>
      </w:tblGrid>
      <w:tr w:rsidR="00ED2E48">
        <w:trPr>
          <w:trHeight w:val="371"/>
        </w:trPr>
        <w:tc>
          <w:tcPr>
            <w:tcW w:w="10488" w:type="dxa"/>
            <w:gridSpan w:val="3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Zoznam obmedzení EÚ (REACH, príloha XVII)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4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Referenčný kód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</w:rPr>
              <w:t>Použiteľné pre</w:t>
            </w:r>
            <w:r>
              <w:rPr>
                <w:b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</w:rPr>
              <w:t>Názov alebo opis záznamu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1008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3(b)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trimetoxyvinylsilán</w:t>
            </w:r>
            <w: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Látky </w:t>
            </w:r>
            <w:r>
              <w:t xml:space="preserve">alebo zmesi </w:t>
            </w:r>
            <w:r>
              <w:t>spĺňajúce</w:t>
            </w:r>
            <w:r>
              <w:t xml:space="preserve"> kritériá </w:t>
            </w:r>
            <w:r>
              <w:t>ktorejkoľvek</w:t>
            </w:r>
            <w:r>
              <w:t xml:space="preserve"> z týchto tried alebo kategórií </w:t>
            </w:r>
            <w:r>
              <w:t>nebezpečnosti</w:t>
            </w:r>
            <w:r>
              <w:t xml:space="preserve"> stanovených v prílohe I k nariadeniu (ES) </w:t>
            </w:r>
            <w:r>
              <w:t>č.</w:t>
            </w:r>
            <w:r>
              <w:t xml:space="preserve"> 1272/2008: Triedy </w:t>
            </w:r>
            <w:r>
              <w:t>nebezpečnosti</w:t>
            </w:r>
            <w:r>
              <w:t xml:space="preserve"> 3.1 až 3.6, 3.7 nepriaznivé </w:t>
            </w:r>
            <w:r>
              <w:t>účinky</w:t>
            </w:r>
            <w:r>
              <w:t xml:space="preserve"> na pohlavné funkcie a </w:t>
            </w:r>
            <w:r>
              <w:t>plodnosť</w:t>
            </w:r>
            <w:r>
              <w:t xml:space="preserve"> alebo vývoj, 3.8 </w:t>
            </w:r>
            <w:r>
              <w:t>účinky</w:t>
            </w:r>
            <w:r>
              <w:t xml:space="preserve"> </w:t>
            </w:r>
            <w:r>
              <w:t>iné ako narkotické, 3.9 a 3.10</w:t>
            </w:r>
            <w:r>
              <w:t xml:space="preserve"> </w:t>
            </w:r>
          </w:p>
        </w:tc>
      </w:tr>
      <w:tr w:rsidR="00ED2E48">
        <w:trPr>
          <w:trHeight w:val="1228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40.</w:t>
            </w:r>
            <w:r>
              <w:t xml:space="preserve"> </w:t>
            </w:r>
          </w:p>
        </w:tc>
        <w:tc>
          <w:tcPr>
            <w:tcW w:w="198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trimetoxyvinylsilán</w:t>
            </w:r>
            <w:r>
              <w:t xml:space="preserve"> </w:t>
            </w:r>
          </w:p>
        </w:tc>
        <w:tc>
          <w:tcPr>
            <w:tcW w:w="6520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Látky klasifikované ako </w:t>
            </w:r>
            <w:r>
              <w:t>horľavé</w:t>
            </w:r>
            <w:r>
              <w:t xml:space="preserve"> plyny kategórie 1 alebo 2, </w:t>
            </w:r>
            <w:r>
              <w:t>horľavé</w:t>
            </w:r>
            <w:r>
              <w:t xml:space="preserve"> kvapaliny kategórií 1, 2 alebo 3, </w:t>
            </w:r>
            <w:r>
              <w:t>horľavé</w:t>
            </w:r>
            <w:r>
              <w:t xml:space="preserve"> tuhé látky kategórie 1 alebo 2, látky a zmesi, ktoré pri kontakte s vodou </w:t>
            </w:r>
            <w:r>
              <w:t>uvoľňujú</w:t>
            </w:r>
            <w:r>
              <w:t xml:space="preserve"> </w:t>
            </w:r>
            <w:r>
              <w:t>horľavé</w:t>
            </w:r>
            <w:r>
              <w:t xml:space="preserve"> plyny kategórie 1, 2 alebo 3, samozápalné kvapaliny kategórie 1 alebo samozápalné tuhé látky kategórie 1, bez </w:t>
            </w:r>
            <w:r>
              <w:t>ohľadu</w:t>
            </w:r>
            <w:r>
              <w:t xml:space="preserve"> na to, </w:t>
            </w:r>
            <w:r>
              <w:t>či</w:t>
            </w:r>
            <w:r>
              <w:t xml:space="preserve"> sa nachádzajú alebo nenachádzajú v </w:t>
            </w:r>
            <w:r>
              <w:t>časti</w:t>
            </w:r>
            <w:r>
              <w:t xml:space="preserve"> 3 prílohy VI k nariadeniu (ES) </w:t>
            </w:r>
            <w:r>
              <w:t>č.</w:t>
            </w:r>
            <w:r>
              <w:t xml:space="preserve"> 1272/2008.</w:t>
            </w:r>
            <w:r>
              <w:t xml:space="preserve"> </w:t>
            </w:r>
          </w:p>
        </w:tc>
      </w:tr>
    </w:tbl>
    <w:p w:rsidR="00ED2E48" w:rsidRDefault="009A7ED6">
      <w:pPr>
        <w:pStyle w:val="Nadpis1"/>
        <w:spacing w:after="0"/>
        <w:ind w:left="23"/>
      </w:pPr>
      <w:r>
        <w:t>ODDIEL 16: Iné informácie</w:t>
      </w:r>
      <w:r>
        <w:rPr>
          <w:color w:val="000000"/>
        </w:rPr>
        <w:t xml:space="preserve"> 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83"/>
        <w:gridCol w:w="3402"/>
        <w:gridCol w:w="1701"/>
        <w:gridCol w:w="3402"/>
      </w:tblGrid>
      <w:tr w:rsidR="00ED2E48">
        <w:trPr>
          <w:trHeight w:val="371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Pokyny</w:t>
            </w:r>
            <w:r>
              <w:rPr>
                <w:b/>
                <w:color w:val="0070C0"/>
                <w:sz w:val="18"/>
              </w:rPr>
              <w:t xml:space="preserve"> na zmenu</w:t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1701" w:type="dxa"/>
            <w:tcBorders>
              <w:top w:val="single" w:sz="4" w:space="0" w:color="0070C0"/>
              <w:left w:val="nil"/>
              <w:bottom w:val="single" w:sz="4" w:space="0" w:color="0070C0"/>
              <w:right w:val="nil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  <w:tc>
          <w:tcPr>
            <w:tcW w:w="3402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ED2E48">
            <w:pPr>
              <w:spacing w:after="160" w:line="259" w:lineRule="auto"/>
              <w:ind w:left="0" w:firstLine="0"/>
            </w:pPr>
          </w:p>
        </w:tc>
      </w:tr>
      <w:tr w:rsidR="00ED2E48">
        <w:trPr>
          <w:trHeight w:val="344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</w:rPr>
              <w:t>Oddiel</w:t>
            </w:r>
            <w:r>
              <w:rPr>
                <w:b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</w:rPr>
              <w:t>Zmenená položka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</w:rPr>
              <w:t>Zmena</w:t>
            </w:r>
            <w:r>
              <w:rPr>
                <w:b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1" w:firstLine="0"/>
            </w:pPr>
            <w:r>
              <w:rPr>
                <w:b/>
                <w:color w:val="0070C0"/>
              </w:rPr>
              <w:t>Poznámky</w:t>
            </w:r>
            <w:r>
              <w:rPr>
                <w:b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1" w:firstLine="0"/>
            </w:pPr>
            <w:r>
              <w:t xml:space="preserve">v súlade s Nariadením (ES) </w:t>
            </w:r>
            <w:r>
              <w:t>č.</w:t>
            </w:r>
            <w:r>
              <w:t xml:space="preserve"> 1907/2006 </w:t>
            </w:r>
          </w:p>
          <w:p w:rsidR="00ED2E48" w:rsidRDefault="009A7ED6">
            <w:pPr>
              <w:spacing w:after="0" w:line="259" w:lineRule="auto"/>
              <w:ind w:left="1" w:firstLine="0"/>
            </w:pPr>
            <w:r>
              <w:t>(REACH) v znení Nariadenia (EÚ) 2020/878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2.2</w:t>
            </w:r>
            <w: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Upravené</w:t>
            </w:r>
            <w: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3.2</w:t>
            </w:r>
            <w: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Upravené</w:t>
            </w:r>
            <w:r>
              <w:t xml:space="preserve"> </w:t>
            </w:r>
          </w:p>
        </w:tc>
        <w:tc>
          <w:tcPr>
            <w:tcW w:w="3402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1983"/>
        <w:gridCol w:w="8505"/>
      </w:tblGrid>
      <w:tr w:rsidR="00ED2E48">
        <w:trPr>
          <w:trHeight w:val="370"/>
        </w:trPr>
        <w:tc>
          <w:tcPr>
            <w:tcW w:w="10488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Skratky a akronymy: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ADN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Európska dohoda o medzinárodnej </w:t>
            </w:r>
            <w:r>
              <w:t xml:space="preserve">preprave </w:t>
            </w:r>
            <w:r>
              <w:t>nebezpečného</w:t>
            </w:r>
            <w:r>
              <w:t xml:space="preserve"> tovaru po vnútrozemských vodných cestách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ADR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Európska dohoda o medzinárodnej preprave o medzinárodnej cestnej preprave </w:t>
            </w:r>
            <w:r>
              <w:t>nebezpečných</w:t>
            </w:r>
            <w:r>
              <w:t xml:space="preserve"> vecí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ATE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Odhad akútnej toxicity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BCF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Faktor biokoncentrácie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  <w:jc w:val="both"/>
            </w:pPr>
            <w:r>
              <w:t>Biologická limitná hodnota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Biologická limitná hodnota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Biologická požiadavka na kyslík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Biochemická spotreba kyslíka (BSK)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Chemická spotreba kyslíka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Chemická spotreba kyslíka (CHSK)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DMEL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Odvodené hladiny, pri ktorých dochádza k minimálnemu </w:t>
            </w:r>
            <w:r>
              <w:t>účinku</w:t>
            </w:r>
            <w:r>
              <w:t xml:space="preserve"> </w:t>
            </w:r>
          </w:p>
        </w:tc>
      </w:tr>
    </w:tbl>
    <w:p w:rsidR="00ED2E48" w:rsidRDefault="009A7ED6">
      <w:pPr>
        <w:spacing w:after="212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pStyle w:val="Nadpis2"/>
        <w:shd w:val="clear" w:color="auto" w:fill="auto"/>
        <w:spacing w:after="106"/>
        <w:ind w:left="-5"/>
      </w:pPr>
      <w:r>
        <w:rPr>
          <w:b w:val="0"/>
          <w:color w:val="000000"/>
          <w:sz w:val="14"/>
        </w:rPr>
        <w:t>1.9.2021 (Dátum spracovania)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83"/>
        <w:gridCol w:w="8505"/>
      </w:tblGrid>
      <w:tr w:rsidR="00ED2E48">
        <w:trPr>
          <w:trHeight w:val="370"/>
        </w:trPr>
        <w:tc>
          <w:tcPr>
            <w:tcW w:w="10488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Skratky a akronymy: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DNEL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Odvodená hladina, pri ktorej nedochádza k žiadnym </w:t>
            </w:r>
            <w:r>
              <w:t>účinkom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č.v</w:t>
            </w:r>
            <w:r>
              <w:t xml:space="preserve"> ES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Číslo</w:t>
            </w:r>
            <w:r>
              <w:t xml:space="preserve"> Európskeho </w:t>
            </w:r>
            <w:r>
              <w:t>spoločenstva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EC50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Stredná </w:t>
            </w:r>
            <w:r>
              <w:t>účinná</w:t>
            </w:r>
            <w:r>
              <w:t xml:space="preserve"> koncentrácia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EN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Európska norma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IARC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Medzinárodná agentúra pre výskum </w:t>
            </w:r>
            <w:r>
              <w:t>rakoviny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IATA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Medzinárodné združenie leteckých dopravcov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IMDG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Medzinárodná námorná preprava </w:t>
            </w:r>
            <w:r>
              <w:t>nebezpečného</w:t>
            </w:r>
            <w:r>
              <w:t xml:space="preserve"> tovaru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LC50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Smrteľná</w:t>
            </w:r>
            <w:r>
              <w:t xml:space="preserve"> koncentrácia pre 50 % testovanej populácie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LD50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Smrteľná</w:t>
            </w:r>
            <w:r>
              <w:t xml:space="preserve"> dávka pre 50% testovanej populácie (stredná </w:t>
            </w:r>
            <w:r>
              <w:t>smrteľná</w:t>
            </w:r>
            <w:r>
              <w:t xml:space="preserve"> dávka)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LOAEL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Najnižšia hladina, pri ktorej dochádza k nepriaznivým </w:t>
            </w:r>
            <w:r>
              <w:t>účinkom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NOAEC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Koncentrácia bez pozorovaného nepriaznivého </w:t>
            </w:r>
            <w:r>
              <w:t>účinku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NOAEL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Hladina bez pozorovaného nepriaznivého </w:t>
            </w:r>
            <w:r>
              <w:t>účinku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NOEC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Koncentrácia bez pozorovaného </w:t>
            </w:r>
            <w:r>
              <w:t>účinku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OECD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Organizácia pre ho</w:t>
            </w:r>
            <w:r>
              <w:t>spodársku spoluprácu a rozvoj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OEL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Limit expozície pri práci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PBT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Perzistentné, bioakumulatívne a toxické látky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PNEC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Predpokladané koncentrácie, pri ktorých nedochádza k žiadnym </w:t>
            </w:r>
            <w:r>
              <w:t>účinkom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RID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Predpisy týkajúce sa medzinárodnej </w:t>
            </w:r>
            <w:r>
              <w:t>železničnej</w:t>
            </w:r>
            <w:r>
              <w:t xml:space="preserve"> prepravy </w:t>
            </w:r>
            <w:r>
              <w:t>nebezpečných</w:t>
            </w:r>
            <w:r>
              <w:t xml:space="preserve"> tovarov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KBÚ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Karta </w:t>
            </w:r>
            <w:r>
              <w:t>Bezpečnostných</w:t>
            </w:r>
            <w:r>
              <w:t xml:space="preserve"> Údajov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STP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čistička</w:t>
            </w:r>
            <w:r>
              <w:t xml:space="preserve"> odpadových vôd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ThOD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Teoretický nárok na kyslík (BThO)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TLM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Stredný </w:t>
            </w:r>
            <w:r>
              <w:t>tolerančný</w:t>
            </w:r>
            <w:r>
              <w:t xml:space="preserve"> limit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VOC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Prchavé organické </w:t>
            </w:r>
            <w:r>
              <w:t>zlúčeniny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č.</w:t>
            </w:r>
            <w:r>
              <w:t xml:space="preserve"> CAS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Číslo</w:t>
            </w:r>
            <w:r>
              <w:t xml:space="preserve"> služby Chemical Abstract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 xml:space="preserve">Nie je </w:t>
            </w:r>
            <w:r>
              <w:t>špecifikované inak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Nie je špecifikované inak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vPvB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Veľmi</w:t>
            </w:r>
            <w:r>
              <w:t xml:space="preserve"> perzistentné a </w:t>
            </w:r>
            <w:r>
              <w:t>veľmi</w:t>
            </w:r>
            <w:r>
              <w:t xml:space="preserve"> bioakumulatívne látky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ED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Vlastnosti endokrinných disruptorov </w:t>
            </w:r>
            <w:r>
              <w:t>(rozvracačov)</w:t>
            </w:r>
            <w:r>
              <w:t xml:space="preserve"> </w:t>
            </w:r>
          </w:p>
        </w:tc>
      </w:tr>
    </w:tbl>
    <w:p w:rsidR="00ED2E48" w:rsidRDefault="009A7ED6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83"/>
        <w:gridCol w:w="8505"/>
      </w:tblGrid>
      <w:tr w:rsidR="00ED2E48">
        <w:trPr>
          <w:trHeight w:val="370"/>
        </w:trPr>
        <w:tc>
          <w:tcPr>
            <w:tcW w:w="10488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Úplné znenie viet H a EUH: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567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 xml:space="preserve">Acute Tox. 4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(Inhalácia:pary)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Akútna toxicita (inhalácia:para)</w:t>
            </w:r>
            <w:r>
              <w:t xml:space="preserve"> Kategória 4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22" w:line="259" w:lineRule="auto"/>
              <w:ind w:left="0" w:firstLine="0"/>
            </w:pPr>
            <w:r>
              <w:t xml:space="preserve">Acute Tox. 4 </w:t>
            </w:r>
          </w:p>
          <w:p w:rsidR="00ED2E48" w:rsidRDefault="009A7ED6">
            <w:pPr>
              <w:spacing w:after="0" w:line="259" w:lineRule="auto"/>
              <w:ind w:left="0" w:firstLine="0"/>
            </w:pPr>
            <w:r>
              <w:t>(Inhalácia:prach,hmla)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Akútna toxicita (inhalácia:prach,hmlu) Kategória 4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Aquatic Acute 1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Nebezpečné</w:t>
            </w:r>
            <w:r>
              <w:t xml:space="preserve"> pre vodné prostredie – akútne </w:t>
            </w:r>
            <w:r>
              <w:t>nebezpečenstvo,</w:t>
            </w:r>
            <w:r>
              <w:t xml:space="preserve"> kategória 1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EUH210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Na požiadanie možno </w:t>
            </w:r>
            <w:r>
              <w:t>poskytnúť</w:t>
            </w:r>
            <w:r>
              <w:t xml:space="preserve"> kartu </w:t>
            </w:r>
            <w:r>
              <w:t>bezpečnostných</w:t>
            </w:r>
            <w:r>
              <w:t xml:space="preserve"> </w:t>
            </w:r>
            <w:r>
              <w:t>údajov</w:t>
            </w:r>
            <w:r>
              <w:t xml:space="preserve"> </w:t>
            </w:r>
          </w:p>
        </w:tc>
      </w:tr>
      <w:tr w:rsidR="00ED2E48">
        <w:trPr>
          <w:trHeight w:val="566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EUH212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Pozor! Pri použití sa môže </w:t>
            </w:r>
            <w:r>
              <w:t>vytvárať</w:t>
            </w:r>
            <w:r>
              <w:t xml:space="preserve"> </w:t>
            </w:r>
            <w:r>
              <w:t>nebezpečný</w:t>
            </w:r>
            <w:r>
              <w:t xml:space="preserve"> respirabilný prach. Nevdychujte prach.(Okrem </w:t>
            </w:r>
            <w:r>
              <w:t>čierneho</w:t>
            </w:r>
            <w:r>
              <w:t xml:space="preserve"> / hnedého / </w:t>
            </w:r>
            <w:r>
              <w:t>priehľadného</w:t>
            </w:r>
            <w:r>
              <w:t xml:space="preserve"> produktu)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Eye Dam. 1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Vážne poškodenie </w:t>
            </w:r>
            <w:r>
              <w:t>očí/podráždenie</w:t>
            </w:r>
            <w:r>
              <w:t xml:space="preserve"> </w:t>
            </w:r>
            <w:r>
              <w:t>očí,</w:t>
            </w:r>
            <w:r>
              <w:t xml:space="preserve"> kategória 1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Flam. Liq. 3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Horľavé</w:t>
            </w:r>
            <w:r>
              <w:t xml:space="preserve"> kvapaliny, </w:t>
            </w:r>
            <w:r>
              <w:t>kategória 3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H226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Horľavá</w:t>
            </w:r>
            <w:r>
              <w:t xml:space="preserve"> kvapalina a pary.</w:t>
            </w:r>
            <w:r>
              <w:t xml:space="preserve"> </w:t>
            </w:r>
          </w:p>
        </w:tc>
      </w:tr>
    </w:tbl>
    <w:p w:rsidR="00ED2E48" w:rsidRDefault="009A7ED6">
      <w:pPr>
        <w:spacing w:after="212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pStyle w:val="Nadpis2"/>
        <w:shd w:val="clear" w:color="auto" w:fill="auto"/>
        <w:spacing w:after="106"/>
        <w:ind w:left="-5"/>
      </w:pPr>
      <w:r>
        <w:rPr>
          <w:b w:val="0"/>
          <w:color w:val="000000"/>
          <w:sz w:val="14"/>
        </w:rPr>
        <w:t>1.9.2021 (Dátum spracovania)</w:t>
      </w:r>
    </w:p>
    <w:tbl>
      <w:tblPr>
        <w:tblStyle w:val="TableGrid"/>
        <w:tblW w:w="10488" w:type="dxa"/>
        <w:tblInd w:w="6" w:type="dxa"/>
        <w:tblCellMar>
          <w:top w:w="96" w:type="dxa"/>
          <w:left w:w="5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983"/>
        <w:gridCol w:w="8505"/>
      </w:tblGrid>
      <w:tr w:rsidR="00ED2E48">
        <w:trPr>
          <w:trHeight w:val="370"/>
        </w:trPr>
        <w:tc>
          <w:tcPr>
            <w:tcW w:w="10488" w:type="dxa"/>
            <w:gridSpan w:val="2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auto" w:fill="BDD6EE"/>
          </w:tcPr>
          <w:p w:rsidR="00ED2E48" w:rsidRDefault="009A7ED6">
            <w:pPr>
              <w:spacing w:after="0" w:line="259" w:lineRule="auto"/>
              <w:ind w:left="0" w:firstLine="0"/>
            </w:pPr>
            <w:r>
              <w:rPr>
                <w:b/>
                <w:color w:val="0070C0"/>
                <w:sz w:val="18"/>
              </w:rPr>
              <w:t>Úplné znenie viet H a EUH: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ED2E48">
        <w:trPr>
          <w:trHeight w:val="346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H317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Môže </w:t>
            </w:r>
            <w:r>
              <w:t>vyvolať</w:t>
            </w:r>
            <w:r>
              <w:t xml:space="preserve"> alergickú kožnú reakciu.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H318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Spôsobuje vážne poškodenie </w:t>
            </w:r>
            <w:r>
              <w:t>očí.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H332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Škodlivý pri vdýchnutí.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H335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Môže </w:t>
            </w:r>
            <w:r>
              <w:t>spôsobiť</w:t>
            </w:r>
            <w:r>
              <w:t xml:space="preserve"> </w:t>
            </w:r>
            <w:r>
              <w:t>podráždenie dýchacích ciest.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H361f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Podozrenie z poškodzovania plodnosti.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H400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Veľmi</w:t>
            </w:r>
            <w:r>
              <w:t xml:space="preserve"> toxický pre vodné organizmy.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Repr. 2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Reprodukčná</w:t>
            </w:r>
            <w:r>
              <w:t xml:space="preserve"> toxicita, kategória 2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Skin Sens. 1B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>Kožná senzibilizácia, kategória 1B</w:t>
            </w:r>
            <w:r>
              <w:t xml:space="preserve"> </w:t>
            </w:r>
          </w:p>
        </w:tc>
      </w:tr>
      <w:tr w:rsidR="00ED2E48">
        <w:trPr>
          <w:trHeight w:val="345"/>
        </w:trPr>
        <w:tc>
          <w:tcPr>
            <w:tcW w:w="1983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0" w:firstLine="0"/>
            </w:pPr>
            <w:r>
              <w:t>STOT SE 3</w:t>
            </w:r>
            <w:r>
              <w:t xml:space="preserve"> </w:t>
            </w:r>
          </w:p>
        </w:tc>
        <w:tc>
          <w:tcPr>
            <w:tcW w:w="8505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ED2E48" w:rsidRDefault="009A7ED6">
            <w:pPr>
              <w:spacing w:after="0" w:line="259" w:lineRule="auto"/>
              <w:ind w:left="1" w:firstLine="0"/>
            </w:pPr>
            <w:r>
              <w:t xml:space="preserve">Toxicita pre špecifický </w:t>
            </w:r>
            <w:r>
              <w:t>cieľový</w:t>
            </w:r>
            <w:r>
              <w:t xml:space="preserve"> orgán – jednorazová expozícia, kategória 3, podráždenie dýchacích ciest</w:t>
            </w:r>
            <w:r>
              <w:t xml:space="preserve"> </w:t>
            </w:r>
          </w:p>
        </w:tc>
      </w:tr>
    </w:tbl>
    <w:p w:rsidR="00ED2E48" w:rsidRDefault="009A7ED6">
      <w:pPr>
        <w:spacing w:after="142" w:line="259" w:lineRule="auto"/>
        <w:ind w:left="-5"/>
      </w:pPr>
      <w:r>
        <w:rPr>
          <w:color w:val="808080"/>
        </w:rPr>
        <w:t xml:space="preserve">Karta </w:t>
      </w:r>
      <w:r>
        <w:rPr>
          <w:color w:val="808080"/>
        </w:rPr>
        <w:t>bezpečnostných</w:t>
      </w:r>
      <w:r>
        <w:rPr>
          <w:color w:val="808080"/>
        </w:rPr>
        <w:t xml:space="preserve"> údajov (SDS), EÚ</w:t>
      </w:r>
      <w:r>
        <w:t xml:space="preserve"> </w:t>
      </w:r>
    </w:p>
    <w:p w:rsidR="00ED2E48" w:rsidRDefault="009A7ED6">
      <w:pPr>
        <w:spacing w:after="9489" w:line="259" w:lineRule="auto"/>
        <w:ind w:left="-5"/>
      </w:pPr>
      <w:r>
        <w:rPr>
          <w:color w:val="808080"/>
        </w:rPr>
        <w:t xml:space="preserve">Táto informácia sa zakladá na </w:t>
      </w:r>
      <w:r>
        <w:rPr>
          <w:color w:val="808080"/>
        </w:rPr>
        <w:t>súčasných</w:t>
      </w:r>
      <w:r>
        <w:rPr>
          <w:color w:val="808080"/>
        </w:rPr>
        <w:t xml:space="preserve"> vedomostiach a je </w:t>
      </w:r>
      <w:r>
        <w:rPr>
          <w:color w:val="808080"/>
        </w:rPr>
        <w:t>určená</w:t>
      </w:r>
      <w:r>
        <w:rPr>
          <w:color w:val="808080"/>
        </w:rPr>
        <w:t xml:space="preserve"> len na opísanie výrobku na zdravotné, </w:t>
      </w:r>
      <w:r>
        <w:rPr>
          <w:color w:val="808080"/>
        </w:rPr>
        <w:t>bezpečnostné</w:t>
      </w:r>
      <w:r>
        <w:rPr>
          <w:color w:val="808080"/>
        </w:rPr>
        <w:t xml:space="preserve"> </w:t>
      </w:r>
      <w:r>
        <w:rPr>
          <w:color w:val="808080"/>
        </w:rPr>
        <w:t>účely</w:t>
      </w:r>
      <w:r>
        <w:rPr>
          <w:color w:val="808080"/>
        </w:rPr>
        <w:t xml:space="preserve"> a </w:t>
      </w:r>
      <w:r>
        <w:rPr>
          <w:color w:val="808080"/>
        </w:rPr>
        <w:t xml:space="preserve">environmentálne požiadavky. Nemala by sa preto </w:t>
      </w:r>
      <w:r>
        <w:rPr>
          <w:color w:val="808080"/>
        </w:rPr>
        <w:t>pokladať</w:t>
      </w:r>
      <w:r>
        <w:rPr>
          <w:color w:val="808080"/>
        </w:rPr>
        <w:t xml:space="preserve"> za </w:t>
      </w:r>
      <w:r>
        <w:rPr>
          <w:color w:val="808080"/>
        </w:rPr>
        <w:t>zaručujúcu</w:t>
      </w:r>
      <w:r>
        <w:rPr>
          <w:color w:val="808080"/>
        </w:rPr>
        <w:t xml:space="preserve"> žiadnu špecifickú </w:t>
      </w:r>
      <w:r>
        <w:rPr>
          <w:color w:val="808080"/>
        </w:rPr>
        <w:t>vlastnosť</w:t>
      </w:r>
      <w:r>
        <w:rPr>
          <w:color w:val="808080"/>
        </w:rPr>
        <w:t xml:space="preserve"> výrobku.</w:t>
      </w:r>
    </w:p>
    <w:p w:rsidR="00ED2E48" w:rsidRDefault="009A7ED6">
      <w:pPr>
        <w:spacing w:after="212" w:line="259" w:lineRule="auto"/>
        <w:ind w:left="0" w:firstLine="0"/>
      </w:pPr>
      <w:r>
        <w:rPr>
          <w:sz w:val="2"/>
        </w:rPr>
        <w:t xml:space="preserve"> </w:t>
      </w:r>
    </w:p>
    <w:p w:rsidR="00ED2E48" w:rsidRDefault="009A7ED6">
      <w:pPr>
        <w:pStyle w:val="Nadpis2"/>
        <w:shd w:val="clear" w:color="auto" w:fill="auto"/>
        <w:spacing w:after="106"/>
        <w:ind w:left="-5"/>
      </w:pPr>
      <w:r>
        <w:rPr>
          <w:b w:val="0"/>
          <w:color w:val="000000"/>
          <w:sz w:val="14"/>
        </w:rPr>
        <w:t>1.9.2021 (Dátum spracovania)</w:t>
      </w:r>
    </w:p>
    <w:sectPr w:rsidR="00ED2E48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footnotePr>
        <w:numRestart w:val="eachPage"/>
      </w:footnotePr>
      <w:pgSz w:w="11906" w:h="16838"/>
      <w:pgMar w:top="1838" w:right="726" w:bottom="732" w:left="720" w:header="776" w:footer="7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ED6" w:rsidRDefault="009A7ED6">
      <w:pPr>
        <w:spacing w:after="0" w:line="240" w:lineRule="auto"/>
      </w:pPr>
      <w:r>
        <w:separator/>
      </w:r>
    </w:p>
  </w:endnote>
  <w:endnote w:type="continuationSeparator" w:id="0">
    <w:p w:rsidR="009A7ED6" w:rsidRDefault="009A7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tabs>
        <w:tab w:val="center" w:pos="5244"/>
        <w:tab w:val="right" w:pos="10436"/>
      </w:tabs>
      <w:spacing w:after="0" w:line="259" w:lineRule="auto"/>
      <w:ind w:left="0" w:right="-52" w:firstLine="0"/>
    </w:pPr>
    <w:r>
      <w:rPr>
        <w:sz w:val="14"/>
      </w:rPr>
      <w:t>1.9.2021 (Dátum spracovania)</w:t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2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tabs>
        <w:tab w:val="center" w:pos="1883"/>
        <w:tab w:val="center" w:pos="5244"/>
        <w:tab w:val="right" w:pos="10436"/>
      </w:tabs>
      <w:spacing w:after="0" w:line="259" w:lineRule="auto"/>
      <w:ind w:left="0" w:right="-52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3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tabs>
        <w:tab w:val="center" w:pos="1883"/>
        <w:tab w:val="center" w:pos="5244"/>
        <w:tab w:val="right" w:pos="10436"/>
      </w:tabs>
      <w:spacing w:after="0" w:line="259" w:lineRule="auto"/>
      <w:ind w:left="0" w:right="-52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Pr="009A7ED6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Pr="009A7ED6">
      <w:rPr>
        <w:noProof/>
        <w:sz w:val="14"/>
      </w:rPr>
      <w:t>1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tabs>
        <w:tab w:val="center" w:pos="5244"/>
        <w:tab w:val="right" w:pos="10488"/>
      </w:tabs>
      <w:spacing w:after="0" w:line="259" w:lineRule="auto"/>
      <w:ind w:left="0" w:right="-2486" w:firstLine="0"/>
    </w:pPr>
    <w:r>
      <w:rPr>
        <w:sz w:val="14"/>
      </w:rPr>
      <w:t>1.9.2021 (Dátum spracovania)</w:t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10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225" w:line="259" w:lineRule="auto"/>
      <w:ind w:left="2491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10085718</wp:posOffset>
              </wp:positionV>
              <wp:extent cx="6659881" cy="6350"/>
              <wp:effectExtent l="0" t="0" r="0" b="0"/>
              <wp:wrapSquare wrapText="bothSides"/>
              <wp:docPr id="70982" name="Group 709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0983" name="Shape 70983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982" style="width:524.4pt;height:0.5pt;position:absolute;mso-position-horizontal-relative:page;mso-position-horizontal:absolute;margin-left:36pt;mso-position-vertical-relative:page;margin-top:794.151pt;" coordsize="66598,63">
              <v:shape id="Shape 70983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  <w:r>
      <w:rPr>
        <w:sz w:val="2"/>
      </w:rPr>
      <w:tab/>
      <w:t xml:space="preserve"> </w:t>
    </w:r>
  </w:p>
  <w:p w:rsidR="00ED2E48" w:rsidRDefault="009A7ED6">
    <w:pPr>
      <w:tabs>
        <w:tab w:val="center" w:pos="5244"/>
        <w:tab w:val="right" w:pos="10488"/>
      </w:tabs>
      <w:spacing w:after="0" w:line="259" w:lineRule="auto"/>
      <w:ind w:left="0" w:right="-2486" w:firstLine="0"/>
    </w:pPr>
    <w:r>
      <w:rPr>
        <w:sz w:val="14"/>
      </w:rPr>
      <w:t>1.9.2021 (Dátum spracovania)</w:t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9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225" w:line="259" w:lineRule="auto"/>
      <w:ind w:left="2491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10085718</wp:posOffset>
              </wp:positionV>
              <wp:extent cx="6659881" cy="6350"/>
              <wp:effectExtent l="0" t="0" r="0" b="0"/>
              <wp:wrapSquare wrapText="bothSides"/>
              <wp:docPr id="70939" name="Group 709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0940" name="Shape 70940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939" style="width:524.4pt;height:0.5pt;position:absolute;mso-position-horizontal-relative:page;mso-position-horizontal:absolute;margin-left:36pt;mso-position-vertical-relative:page;margin-top:794.151pt;" coordsize="66598,63">
              <v:shape id="Shape 70940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  <w:r>
      <w:rPr>
        <w:sz w:val="2"/>
      </w:rPr>
      <w:tab/>
      <w:t xml:space="preserve"> </w:t>
    </w:r>
  </w:p>
  <w:p w:rsidR="00ED2E48" w:rsidRDefault="009A7ED6">
    <w:pPr>
      <w:tabs>
        <w:tab w:val="center" w:pos="1883"/>
        <w:tab w:val="center" w:pos="5244"/>
        <w:tab w:val="right" w:pos="10488"/>
      </w:tabs>
      <w:spacing w:after="0" w:line="259" w:lineRule="auto"/>
      <w:ind w:left="0" w:right="-2486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6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tabs>
        <w:tab w:val="center" w:pos="5250"/>
        <w:tab w:val="right" w:pos="10533"/>
      </w:tabs>
      <w:spacing w:after="0" w:line="259" w:lineRule="auto"/>
      <w:ind w:left="0" w:right="-265" w:firstLine="0"/>
    </w:pPr>
    <w:r>
      <w:rPr>
        <w:sz w:val="14"/>
      </w:rPr>
      <w:t>1.9.2021 (Dátum spracovania)</w:t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14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225" w:line="259" w:lineRule="auto"/>
      <w:ind w:left="271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10085718</wp:posOffset>
              </wp:positionV>
              <wp:extent cx="6659881" cy="6350"/>
              <wp:effectExtent l="0" t="0" r="0" b="0"/>
              <wp:wrapSquare wrapText="bothSides"/>
              <wp:docPr id="71116" name="Group 711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117" name="Shape 71117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116" style="width:524.4pt;height:0.5pt;position:absolute;mso-position-horizontal-relative:page;mso-position-horizontal:absolute;margin-left:36pt;mso-position-vertical-relative:page;margin-top:794.151pt;" coordsize="66598,63">
              <v:shape id="Shape 71117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  <w:r>
      <w:rPr>
        <w:sz w:val="2"/>
      </w:rPr>
      <w:tab/>
      <w:t xml:space="preserve"> </w:t>
    </w:r>
  </w:p>
  <w:p w:rsidR="00ED2E48" w:rsidRDefault="009A7ED6">
    <w:pPr>
      <w:tabs>
        <w:tab w:val="center" w:pos="1883"/>
        <w:tab w:val="center" w:pos="5244"/>
        <w:tab w:val="right" w:pos="10527"/>
      </w:tabs>
      <w:spacing w:after="0" w:line="259" w:lineRule="auto"/>
      <w:ind w:left="0" w:right="-265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</w:instrText>
    </w:r>
    <w:r>
      <w:instrText xml:space="preserve">AT </w:instrText>
    </w:r>
    <w:r>
      <w:fldChar w:fldCharType="separate"/>
    </w:r>
    <w:r w:rsidR="00D360F6" w:rsidRPr="00D360F6">
      <w:rPr>
        <w:noProof/>
        <w:sz w:val="14"/>
      </w:rPr>
      <w:t>13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225" w:line="259" w:lineRule="auto"/>
      <w:ind w:left="271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10085718</wp:posOffset>
              </wp:positionV>
              <wp:extent cx="6659881" cy="6350"/>
              <wp:effectExtent l="0" t="0" r="0" b="0"/>
              <wp:wrapSquare wrapText="bothSides"/>
              <wp:docPr id="71073" name="Group 710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074" name="Shape 71074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073" style="width:524.4pt;height:0.5pt;position:absolute;mso-position-horizontal-relative:page;mso-position-horizontal:absolute;margin-left:36pt;mso-position-vertical-relative:page;margin-top:794.151pt;" coordsize="66598,63">
              <v:shape id="Shape 71074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  <w:r>
      <w:rPr>
        <w:sz w:val="2"/>
      </w:rPr>
      <w:tab/>
      <w:t xml:space="preserve"> </w:t>
    </w:r>
  </w:p>
  <w:p w:rsidR="00ED2E48" w:rsidRDefault="009A7ED6">
    <w:pPr>
      <w:tabs>
        <w:tab w:val="center" w:pos="1883"/>
        <w:tab w:val="center" w:pos="5244"/>
        <w:tab w:val="right" w:pos="10527"/>
      </w:tabs>
      <w:spacing w:after="0" w:line="259" w:lineRule="auto"/>
      <w:ind w:left="0" w:right="-265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4"/>
      </w:rPr>
      <w:t>5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225" w:line="259" w:lineRule="auto"/>
      <w:ind w:left="3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10085718</wp:posOffset>
              </wp:positionV>
              <wp:extent cx="6659881" cy="6350"/>
              <wp:effectExtent l="0" t="0" r="0" b="0"/>
              <wp:wrapSquare wrapText="bothSides"/>
              <wp:docPr id="71306" name="Group 713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307" name="Shape 71307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306" style="width:524.4pt;height:0.5pt;position:absolute;mso-position-horizontal-relative:page;mso-position-horizontal:absolute;margin-left:36pt;mso-position-vertical-relative:page;margin-top:794.151pt;" coordsize="66598,63">
              <v:shape id="Shape 71307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  <w:r>
      <w:rPr>
        <w:sz w:val="2"/>
      </w:rPr>
      <w:tab/>
      <w:t xml:space="preserve"> </w:t>
    </w:r>
  </w:p>
  <w:p w:rsidR="00ED2E48" w:rsidRDefault="009A7ED6">
    <w:pPr>
      <w:tabs>
        <w:tab w:val="center" w:pos="1883"/>
        <w:tab w:val="center" w:pos="5244"/>
        <w:tab w:val="right" w:pos="10460"/>
      </w:tabs>
      <w:spacing w:after="0" w:line="259" w:lineRule="auto"/>
      <w:ind w:left="0" w:right="-28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225" w:line="259" w:lineRule="auto"/>
      <w:ind w:left="3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10085718</wp:posOffset>
              </wp:positionV>
              <wp:extent cx="6659881" cy="6350"/>
              <wp:effectExtent l="0" t="0" r="0" b="0"/>
              <wp:wrapSquare wrapText="bothSides"/>
              <wp:docPr id="71258" name="Group 712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259" name="Shape 71259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258" style="width:524.4pt;height:0.5pt;position:absolute;mso-position-horizontal-relative:page;mso-position-horizontal:absolute;margin-left:36pt;mso-position-vertical-relative:page;margin-top:794.151pt;" coordsize="66598,63">
              <v:shape id="Shape 71259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  <w:r>
      <w:rPr>
        <w:sz w:val="2"/>
      </w:rPr>
      <w:tab/>
      <w:t xml:space="preserve"> </w:t>
    </w:r>
  </w:p>
  <w:p w:rsidR="00ED2E48" w:rsidRDefault="009A7ED6">
    <w:pPr>
      <w:tabs>
        <w:tab w:val="center" w:pos="1883"/>
        <w:tab w:val="center" w:pos="5244"/>
        <w:tab w:val="right" w:pos="10460"/>
      </w:tabs>
      <w:spacing w:after="0" w:line="259" w:lineRule="auto"/>
      <w:ind w:left="0" w:right="-28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D360F6" w:rsidRPr="00D360F6">
      <w:rPr>
        <w:noProof/>
        <w:sz w:val="14"/>
      </w:rPr>
      <w:t>17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225" w:line="259" w:lineRule="auto"/>
      <w:ind w:left="34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10085718</wp:posOffset>
              </wp:positionV>
              <wp:extent cx="6659881" cy="6350"/>
              <wp:effectExtent l="0" t="0" r="0" b="0"/>
              <wp:wrapSquare wrapText="bothSides"/>
              <wp:docPr id="71210" name="Group 712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211" name="Shape 71211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210" style="width:524.4pt;height:0.5pt;position:absolute;mso-position-horizontal-relative:page;mso-position-horizontal:absolute;margin-left:36pt;mso-position-vertical-relative:page;margin-top:794.151pt;" coordsize="66598,63">
              <v:shape id="Shape 71211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"/>
      </w:rPr>
      <w:t xml:space="preserve"> </w:t>
    </w:r>
    <w:r>
      <w:rPr>
        <w:sz w:val="2"/>
      </w:rPr>
      <w:tab/>
      <w:t xml:space="preserve"> </w:t>
    </w:r>
  </w:p>
  <w:p w:rsidR="00ED2E48" w:rsidRDefault="009A7ED6">
    <w:pPr>
      <w:tabs>
        <w:tab w:val="center" w:pos="1883"/>
        <w:tab w:val="center" w:pos="5244"/>
        <w:tab w:val="right" w:pos="10460"/>
      </w:tabs>
      <w:spacing w:after="0" w:line="259" w:lineRule="auto"/>
      <w:ind w:left="0" w:right="-28" w:firstLine="0"/>
    </w:pPr>
    <w:r>
      <w:rPr>
        <w:rFonts w:ascii="Calibri" w:eastAsia="Calibri" w:hAnsi="Calibri" w:cs="Calibri"/>
        <w:sz w:val="22"/>
      </w:rPr>
      <w:tab/>
    </w:r>
    <w:r>
      <w:rPr>
        <w:sz w:val="14"/>
      </w:rPr>
      <w:t xml:space="preserve"> </w:t>
    </w:r>
    <w:r>
      <w:rPr>
        <w:sz w:val="14"/>
      </w:rPr>
      <w:tab/>
    </w:r>
    <w:r>
      <w:rPr>
        <w:sz w:val="14"/>
      </w:rPr>
      <w:t>SK - sk</w:t>
    </w:r>
    <w:r>
      <w:rPr>
        <w:sz w:val="14"/>
      </w:rPr>
      <w:t xml:space="preserve"> </w:t>
    </w:r>
    <w:r>
      <w:rPr>
        <w:sz w:val="1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4"/>
      </w:rPr>
      <w:t>5</w:t>
    </w:r>
    <w:r>
      <w:rPr>
        <w:sz w:val="14"/>
      </w:rPr>
      <w:fldChar w:fldCharType="end"/>
    </w:r>
    <w:r>
      <w:rPr>
        <w:sz w:val="14"/>
      </w:rP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D360F6" w:rsidRPr="00D360F6">
      <w:rPr>
        <w:noProof/>
        <w:sz w:val="14"/>
      </w:rPr>
      <w:t>18</w:t>
    </w:r>
    <w:r>
      <w:rPr>
        <w:sz w:val="14"/>
      </w:rPr>
      <w:fldChar w:fldCharType="end"/>
    </w:r>
    <w:r>
      <w:rPr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ED6" w:rsidRDefault="009A7ED6">
      <w:pPr>
        <w:spacing w:after="0" w:line="259" w:lineRule="auto"/>
        <w:ind w:left="0" w:firstLine="0"/>
      </w:pPr>
      <w:r>
        <w:separator/>
      </w:r>
    </w:p>
  </w:footnote>
  <w:footnote w:type="continuationSeparator" w:id="0">
    <w:p w:rsidR="009A7ED6" w:rsidRDefault="009A7ED6">
      <w:pPr>
        <w:spacing w:after="0" w:line="259" w:lineRule="auto"/>
        <w:ind w:left="0" w:firstLine="0"/>
      </w:pPr>
      <w:r>
        <w:continuationSeparator/>
      </w:r>
    </w:p>
  </w:footnote>
  <w:footnote w:id="1">
    <w:p w:rsidR="00ED2E48" w:rsidRDefault="009A7ED6">
      <w:pPr>
        <w:pStyle w:val="footnotedescription"/>
      </w:pPr>
      <w:r>
        <w:rPr>
          <w:rStyle w:val="footnotemark"/>
        </w:rPr>
        <w:footnoteRef/>
      </w:r>
      <w:r>
        <w:t xml:space="preserve"> .9.2021 (Dátum spracovania)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14" w:tblpY="1832"/>
      <w:tblOverlap w:val="never"/>
      <w:tblW w:w="10506" w:type="dxa"/>
      <w:tblInd w:w="0" w:type="dxa"/>
      <w:tblCellMar>
        <w:top w:w="83" w:type="dxa"/>
        <w:left w:w="334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10506"/>
    </w:tblGrid>
    <w:tr w:rsidR="00ED2E48">
      <w:trPr>
        <w:trHeight w:val="297"/>
      </w:trPr>
      <w:tc>
        <w:tcPr>
          <w:tcW w:w="10506" w:type="dxa"/>
          <w:tcBorders>
            <w:top w:val="nil"/>
            <w:left w:val="nil"/>
            <w:bottom w:val="nil"/>
            <w:right w:val="nil"/>
          </w:tcBorders>
          <w:shd w:val="clear" w:color="auto" w:fill="9CC2E5"/>
        </w:tcPr>
        <w:p w:rsidR="00ED2E48" w:rsidRDefault="009A7ED6">
          <w:pPr>
            <w:spacing w:after="0" w:line="259" w:lineRule="auto"/>
            <w:ind w:left="0" w:firstLine="0"/>
          </w:pPr>
          <w:r>
            <w:rPr>
              <w:b/>
              <w:color w:val="0070C0"/>
              <w:sz w:val="18"/>
            </w:rPr>
            <w:t xml:space="preserve"> </w:t>
          </w:r>
        </w:p>
      </w:tc>
    </w:tr>
  </w:tbl>
  <w:p w:rsidR="00ED2E48" w:rsidRDefault="009A7ED6">
    <w:pPr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0866" name="Group 708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0867" name="Shape 70867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866" style="width:524.4pt;height:0.5pt;position:absolute;mso-position-horizontal-relative:page;mso-position-horizontal:absolute;margin-left:36pt;mso-position-vertical-relative:page;margin-top:84.496pt;" coordsize="66598,63">
              <v:shape id="Shape 70867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 w:rsidR="00252F39">
      <w:rPr>
        <w:b/>
        <w:sz w:val="32"/>
      </w:rPr>
      <w:t>T-Rex GOLD Power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714" w:tblpY="1832"/>
      <w:tblOverlap w:val="never"/>
      <w:tblW w:w="10506" w:type="dxa"/>
      <w:tblInd w:w="0" w:type="dxa"/>
      <w:tblCellMar>
        <w:top w:w="83" w:type="dxa"/>
        <w:left w:w="334" w:type="dxa"/>
        <w:bottom w:w="0" w:type="dxa"/>
        <w:right w:w="115" w:type="dxa"/>
      </w:tblCellMar>
      <w:tblLook w:val="04A0" w:firstRow="1" w:lastRow="0" w:firstColumn="1" w:lastColumn="0" w:noHBand="0" w:noVBand="1"/>
    </w:tblPr>
    <w:tblGrid>
      <w:gridCol w:w="10506"/>
    </w:tblGrid>
    <w:tr w:rsidR="00ED2E48">
      <w:trPr>
        <w:trHeight w:val="297"/>
      </w:trPr>
      <w:tc>
        <w:tcPr>
          <w:tcW w:w="10506" w:type="dxa"/>
          <w:tcBorders>
            <w:top w:val="nil"/>
            <w:left w:val="nil"/>
            <w:bottom w:val="nil"/>
            <w:right w:val="nil"/>
          </w:tcBorders>
          <w:shd w:val="clear" w:color="auto" w:fill="9CC2E5"/>
        </w:tcPr>
        <w:p w:rsidR="00ED2E48" w:rsidRDefault="009A7ED6">
          <w:pPr>
            <w:spacing w:after="0" w:line="259" w:lineRule="auto"/>
            <w:ind w:left="0" w:firstLine="0"/>
          </w:pPr>
          <w:r>
            <w:rPr>
              <w:b/>
              <w:color w:val="0070C0"/>
              <w:sz w:val="18"/>
            </w:rPr>
            <w:t xml:space="preserve"> </w:t>
          </w:r>
        </w:p>
      </w:tc>
    </w:tr>
  </w:tbl>
  <w:p w:rsidR="00252F39" w:rsidRPr="00252F39" w:rsidRDefault="009A7ED6">
    <w:pPr>
      <w:spacing w:after="0" w:line="259" w:lineRule="auto"/>
      <w:ind w:left="0" w:firstLine="0"/>
      <w:rPr>
        <w:b/>
        <w:sz w:val="32"/>
      </w:rPr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0813" name="Group 70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0814" name="Shape 70814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813" style="width:524.4pt;height:0.5pt;position:absolute;mso-position-horizontal-relative:page;mso-position-horizontal:absolute;margin-left:36pt;mso-position-vertical-relative:page;margin-top:84.496pt;" coordsize="66598,63">
              <v:shape id="Shape 70814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 w:rsidR="00252F39">
      <w:rPr>
        <w:b/>
        <w:sz w:val="32"/>
      </w:rPr>
      <w:t>T-Rex GOLD Power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ED2E48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1005" name="Group 710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006" name="Shape 71006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005" style="width:524.4pt;height:0.5pt;position:absolute;mso-position-horizontal-relative:page;mso-position-horizontal:absolute;margin-left:36pt;mso-position-vertical-relative:page;margin-top:84.496pt;" coordsize="66598,63">
              <v:shape id="Shape 71006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0911" name="Group 70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0912" name="Shape 70912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0911" style="width:524.4pt;height:0.5pt;position:absolute;mso-position-horizontal-relative:page;mso-position-horizontal:absolute;margin-left:36pt;mso-position-vertical-relative:page;margin-top:84.496pt;" coordsize="66598,63">
              <v:shape id="Shape 70912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1136" name="Group 71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137" name="Shape 71137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136" style="width:524.4pt;height:0.5pt;position:absolute;mso-position-horizontal-relative:page;mso-position-horizontal:absolute;margin-left:36pt;mso-position-vertical-relative:page;margin-top:84.496pt;" coordsize="66598,63">
              <v:shape id="Shape 71137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1278" name="Group 712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279" name="Shape 71279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278" style="width:524.4pt;height:0.5pt;position:absolute;mso-position-horizontal-relative:page;mso-position-horizontal:absolute;margin-left:36pt;mso-position-vertical-relative:page;margin-top:84.496pt;" coordsize="66598,63">
              <v:shape id="Shape 71279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1230" name="Group 712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231" name="Shape 71231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230" style="width:524.4pt;height:0.5pt;position:absolute;mso-position-horizontal-relative:page;mso-position-horizontal:absolute;margin-left:36pt;mso-position-vertical-relative:page;margin-top:84.496pt;" coordsize="66598,63">
              <v:shape id="Shape 71231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E48" w:rsidRDefault="009A7ED6">
    <w:pPr>
      <w:spacing w:after="0" w:line="259" w:lineRule="auto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457200</wp:posOffset>
              </wp:positionH>
              <wp:positionV relativeFrom="page">
                <wp:posOffset>1073099</wp:posOffset>
              </wp:positionV>
              <wp:extent cx="6659881" cy="6350"/>
              <wp:effectExtent l="0" t="0" r="0" b="0"/>
              <wp:wrapSquare wrapText="bothSides"/>
              <wp:docPr id="71182" name="Group 711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59881" cy="6350"/>
                        <a:chOff x="0" y="0"/>
                        <a:chExt cx="6659881" cy="6350"/>
                      </a:xfrm>
                    </wpg:grpSpPr>
                    <wps:wsp>
                      <wps:cNvPr id="71183" name="Shape 71183"/>
                      <wps:cNvSpPr/>
                      <wps:spPr>
                        <a:xfrm>
                          <a:off x="0" y="0"/>
                          <a:ext cx="665988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59881">
                              <a:moveTo>
                                <a:pt x="0" y="0"/>
                              </a:moveTo>
                              <a:lnTo>
                                <a:pt x="6659881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1182" style="width:524.4pt;height:0.5pt;position:absolute;mso-position-horizontal-relative:page;mso-position-horizontal:absolute;margin-left:36pt;mso-position-vertical-relative:page;margin-top:84.496pt;" coordsize="66598,63">
              <v:shape id="Shape 71183" style="position:absolute;width:66598;height:0;left:0;top:0;" coordsize="6659881,0" path="m0,0l6659881,0">
                <v:stroke weight="0.5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b/>
        <w:sz w:val="32"/>
      </w:rPr>
      <w:t>T-Rex Power Extreme Strength</w:t>
    </w:r>
    <w:r>
      <w:rPr>
        <w:b/>
        <w:sz w:val="32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4"/>
      </w:rPr>
      <w:t xml:space="preserve">Karta </w:t>
    </w:r>
    <w:r>
      <w:rPr>
        <w:sz w:val="24"/>
      </w:rPr>
      <w:t>Bezpečnostných</w:t>
    </w:r>
    <w:r>
      <w:rPr>
        <w:sz w:val="24"/>
      </w:rPr>
      <w:t xml:space="preserve"> Údajov</w:t>
    </w:r>
    <w:r>
      <w:rPr>
        <w:sz w:val="2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14"/>
      </w:rPr>
      <w:t>podľa</w:t>
    </w:r>
    <w:r>
      <w:rPr>
        <w:sz w:val="14"/>
      </w:rPr>
      <w:t xml:space="preserve"> nariadenia REACH (ES) </w:t>
    </w:r>
    <w:r>
      <w:rPr>
        <w:sz w:val="14"/>
      </w:rPr>
      <w:t>č.</w:t>
    </w:r>
    <w:r>
      <w:rPr>
        <w:sz w:val="14"/>
      </w:rPr>
      <w:t xml:space="preserve"> 1907/2006 zmeneného a doplneného nariadením (EÚ) </w:t>
    </w:r>
    <w:r>
      <w:rPr>
        <w:sz w:val="14"/>
      </w:rPr>
      <w:t>č.</w:t>
    </w:r>
    <w:r>
      <w:rPr>
        <w:sz w:val="14"/>
      </w:rPr>
      <w:t xml:space="preserve"> 2020/878</w:t>
    </w:r>
    <w:r>
      <w:rPr>
        <w:sz w:val="14"/>
      </w:rPr>
      <w:t xml:space="preserve"> </w:t>
    </w:r>
  </w:p>
  <w:p w:rsidR="00ED2E48" w:rsidRDefault="009A7ED6">
    <w:pPr>
      <w:spacing w:after="0" w:line="259" w:lineRule="auto"/>
      <w:ind w:left="0" w:firstLine="0"/>
    </w:pPr>
    <w:r>
      <w:rPr>
        <w:sz w:val="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48"/>
    <w:rsid w:val="00252F39"/>
    <w:rsid w:val="009A7ED6"/>
    <w:rsid w:val="00D360F6"/>
    <w:rsid w:val="00ED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78C0C"/>
  <w15:docId w15:val="{A78C48AD-9229-4D3C-A994-9FA876EE7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19" w:line="265" w:lineRule="auto"/>
      <w:ind w:left="10" w:hanging="10"/>
    </w:pPr>
    <w:rPr>
      <w:rFonts w:ascii="Arial" w:eastAsia="Arial" w:hAnsi="Arial" w:cs="Arial"/>
      <w:color w:val="000000"/>
      <w:sz w:val="16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hd w:val="clear" w:color="auto" w:fill="2E74B5"/>
      <w:spacing w:after="193"/>
      <w:ind w:left="38" w:hanging="10"/>
      <w:outlineLvl w:val="0"/>
    </w:pPr>
    <w:rPr>
      <w:rFonts w:ascii="Arial" w:eastAsia="Arial" w:hAnsi="Arial" w:cs="Arial"/>
      <w:b/>
      <w:color w:val="FFFFFF"/>
      <w:sz w:val="2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hd w:val="clear" w:color="auto" w:fill="9CC2E5"/>
      <w:spacing w:after="130"/>
      <w:ind w:left="38" w:hanging="10"/>
      <w:outlineLvl w:val="1"/>
    </w:pPr>
    <w:rPr>
      <w:rFonts w:ascii="Arial" w:eastAsia="Arial" w:hAnsi="Arial" w:cs="Arial"/>
      <w:b/>
      <w:color w:val="0070C0"/>
      <w:sz w:val="18"/>
    </w:rPr>
  </w:style>
  <w:style w:type="paragraph" w:styleId="Nadpis3">
    <w:name w:val="heading 3"/>
    <w:next w:val="Normlny"/>
    <w:link w:val="Nadpis3Char"/>
    <w:uiPriority w:val="9"/>
    <w:unhideWhenUsed/>
    <w:qFormat/>
    <w:pPr>
      <w:keepNext/>
      <w:keepLines/>
      <w:spacing w:after="106"/>
      <w:ind w:left="10" w:hanging="10"/>
      <w:outlineLvl w:val="2"/>
    </w:pPr>
    <w:rPr>
      <w:rFonts w:ascii="Arial" w:eastAsia="Arial" w:hAnsi="Arial" w:cs="Arial"/>
      <w:color w:val="000000"/>
      <w:sz w:val="1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70C0"/>
      <w:sz w:val="18"/>
    </w:rPr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FFFFFF"/>
      <w:sz w:val="20"/>
    </w:rPr>
  </w:style>
  <w:style w:type="paragraph" w:customStyle="1" w:styleId="footnotedescription">
    <w:name w:val="footnote description"/>
    <w:next w:val="Normlny"/>
    <w:link w:val="footnotedescriptionChar"/>
    <w:hidden/>
    <w:pPr>
      <w:spacing w:after="0"/>
    </w:pPr>
    <w:rPr>
      <w:rFonts w:ascii="Arial" w:eastAsia="Arial" w:hAnsi="Arial" w:cs="Arial"/>
      <w:color w:val="000000"/>
      <w:sz w:val="14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4"/>
    </w:rPr>
  </w:style>
  <w:style w:type="character" w:customStyle="1" w:styleId="Nadpis3Char">
    <w:name w:val="Nadpis 3 Char"/>
    <w:link w:val="Nadpis3"/>
    <w:rPr>
      <w:rFonts w:ascii="Arial" w:eastAsia="Arial" w:hAnsi="Arial" w:cs="Arial"/>
      <w:color w:val="000000"/>
      <w:sz w:val="14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252F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footer" Target="footer8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34" Type="http://schemas.openxmlformats.org/officeDocument/2006/relationships/footer" Target="footer12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footer" Target="footer7.xml"/><Relationship Id="rId33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image" Target="media/image3.jpg"/><Relationship Id="rId20" Type="http://schemas.openxmlformats.org/officeDocument/2006/relationships/footer" Target="footer5.xml"/><Relationship Id="rId29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1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openxmlformats.org/officeDocument/2006/relationships/footnotes" Target="footnotes.xml"/><Relationship Id="rId9" Type="http://schemas.openxmlformats.org/officeDocument/2006/relationships/hyperlink" Target="http://www.soudal.sk" TargetMode="External"/><Relationship Id="rId14" Type="http://schemas.openxmlformats.org/officeDocument/2006/relationships/header" Target="header3.xml"/><Relationship Id="rId22" Type="http://schemas.openxmlformats.org/officeDocument/2006/relationships/footer" Target="footer6.xml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fontTable" Target="fontTable.xml"/><Relationship Id="rId8" Type="http://schemas.openxmlformats.org/officeDocument/2006/relationships/hyperlink" Target="mailto:p.molnar@soudal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4390</Words>
  <Characters>25027</Characters>
  <Application>Microsoft Office Word</Application>
  <DocSecurity>0</DocSecurity>
  <Lines>208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Lisam Systems</dc:creator>
  <cp:keywords/>
  <cp:lastModifiedBy>Windows User</cp:lastModifiedBy>
  <cp:revision>3</cp:revision>
  <cp:lastPrinted>2022-12-06T07:55:00Z</cp:lastPrinted>
  <dcterms:created xsi:type="dcterms:W3CDTF">2022-12-06T07:55:00Z</dcterms:created>
  <dcterms:modified xsi:type="dcterms:W3CDTF">2022-12-06T07:56:00Z</dcterms:modified>
</cp:coreProperties>
</file>